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8279F" w14:textId="4FE6E656" w:rsidR="0098325D" w:rsidRPr="004F51B8" w:rsidRDefault="0098325D" w:rsidP="0098325D">
      <w:pPr>
        <w:jc w:val="both"/>
        <w:rPr>
          <w:rFonts w:ascii="Calibri" w:hAnsi="Calibri" w:cs="Calibri"/>
          <w:b/>
          <w:bCs/>
          <w:sz w:val="24"/>
          <w:szCs w:val="24"/>
        </w:rPr>
      </w:pPr>
      <w:r w:rsidRPr="004F51B8">
        <w:rPr>
          <w:rFonts w:ascii="Calibri" w:hAnsi="Calibri" w:cs="Calibri"/>
          <w:b/>
          <w:bCs/>
          <w:sz w:val="24"/>
          <w:szCs w:val="24"/>
        </w:rPr>
        <w:t xml:space="preserve">Profilul Consiliului de Administrație </w:t>
      </w:r>
      <w:r>
        <w:rPr>
          <w:rFonts w:ascii="Calibri" w:hAnsi="Calibri" w:cs="Calibri"/>
          <w:b/>
          <w:bCs/>
          <w:sz w:val="24"/>
          <w:szCs w:val="24"/>
        </w:rPr>
        <w:t>al</w:t>
      </w:r>
      <w:r w:rsidRPr="0098325D">
        <w:t xml:space="preserve"> </w:t>
      </w:r>
      <w:r w:rsidRPr="0098325D">
        <w:rPr>
          <w:rFonts w:ascii="Calibri" w:hAnsi="Calibri" w:cs="Calibri"/>
          <w:b/>
          <w:bCs/>
          <w:sz w:val="24"/>
          <w:szCs w:val="24"/>
        </w:rPr>
        <w:t>Regi</w:t>
      </w:r>
      <w:r>
        <w:rPr>
          <w:rFonts w:ascii="Calibri" w:hAnsi="Calibri" w:cs="Calibri"/>
          <w:b/>
          <w:bCs/>
          <w:sz w:val="24"/>
          <w:szCs w:val="24"/>
        </w:rPr>
        <w:t>ei</w:t>
      </w:r>
      <w:r w:rsidRPr="0098325D">
        <w:rPr>
          <w:rFonts w:ascii="Calibri" w:hAnsi="Calibri" w:cs="Calibri"/>
          <w:b/>
          <w:bCs/>
          <w:sz w:val="24"/>
          <w:szCs w:val="24"/>
        </w:rPr>
        <w:t xml:space="preserve"> Public</w:t>
      </w:r>
      <w:r>
        <w:rPr>
          <w:rFonts w:ascii="Calibri" w:hAnsi="Calibri" w:cs="Calibri"/>
          <w:b/>
          <w:bCs/>
          <w:sz w:val="24"/>
          <w:szCs w:val="24"/>
        </w:rPr>
        <w:t>e</w:t>
      </w:r>
      <w:r w:rsidRPr="0098325D">
        <w:rPr>
          <w:rFonts w:ascii="Calibri" w:hAnsi="Calibri" w:cs="Calibri"/>
          <w:b/>
          <w:bCs/>
          <w:sz w:val="24"/>
          <w:szCs w:val="24"/>
        </w:rPr>
        <w:t xml:space="preserve"> Local</w:t>
      </w:r>
      <w:r>
        <w:rPr>
          <w:rFonts w:ascii="Calibri" w:hAnsi="Calibri" w:cs="Calibri"/>
          <w:b/>
          <w:bCs/>
          <w:sz w:val="24"/>
          <w:szCs w:val="24"/>
        </w:rPr>
        <w:t>e</w:t>
      </w:r>
      <w:r w:rsidRPr="0098325D">
        <w:rPr>
          <w:rFonts w:ascii="Calibri" w:hAnsi="Calibri" w:cs="Calibri"/>
          <w:b/>
          <w:bCs/>
          <w:sz w:val="24"/>
          <w:szCs w:val="24"/>
        </w:rPr>
        <w:t xml:space="preserve"> Ocolul Silvic al municipiului Bistrița R.A</w:t>
      </w:r>
    </w:p>
    <w:p w14:paraId="646DB547" w14:textId="12363EB4" w:rsidR="0098325D" w:rsidRPr="0098325D" w:rsidRDefault="0098325D" w:rsidP="0098325D">
      <w:pPr>
        <w:autoSpaceDE w:val="0"/>
        <w:autoSpaceDN w:val="0"/>
        <w:adjustRightInd w:val="0"/>
        <w:spacing w:after="0" w:line="240" w:lineRule="auto"/>
        <w:jc w:val="both"/>
        <w:rPr>
          <w:rFonts w:ascii="Calibri" w:eastAsia="Times New Roman" w:hAnsi="Calibri" w:cs="Calibri"/>
          <w:sz w:val="24"/>
          <w:szCs w:val="24"/>
          <w:lang w:eastAsia="ro-RO"/>
        </w:rPr>
      </w:pPr>
      <w:bookmarkStart w:id="0" w:name="_Hlk203331375"/>
      <w:r w:rsidRPr="0098325D">
        <w:rPr>
          <w:rFonts w:ascii="Calibri" w:eastAsia="Times New Roman" w:hAnsi="Calibri" w:cs="Calibri"/>
          <w:i/>
          <w:iCs/>
          <w:sz w:val="24"/>
          <w:szCs w:val="24"/>
          <w:lang w:eastAsia="ro-RO"/>
        </w:rPr>
        <w:t>Regia Publica Locală Ocolul Silvic al municipiului Bistrița R.</w:t>
      </w:r>
      <w:r>
        <w:rPr>
          <w:rFonts w:ascii="Calibri" w:eastAsia="Times New Roman" w:hAnsi="Calibri" w:cs="Calibri"/>
          <w:i/>
          <w:iCs/>
          <w:sz w:val="24"/>
          <w:szCs w:val="24"/>
          <w:lang w:eastAsia="ro-RO"/>
        </w:rPr>
        <w:t>A.</w:t>
      </w:r>
      <w:r>
        <w:rPr>
          <w:rFonts w:ascii="Calibri" w:eastAsia="Times New Roman" w:hAnsi="Calibri" w:cs="Calibri"/>
          <w:sz w:val="24"/>
          <w:szCs w:val="24"/>
          <w:lang w:eastAsia="ro-RO"/>
        </w:rPr>
        <w:t xml:space="preserve"> </w:t>
      </w:r>
      <w:r w:rsidRPr="0098325D">
        <w:rPr>
          <w:rFonts w:ascii="Calibri" w:eastAsia="Times New Roman" w:hAnsi="Calibri" w:cs="Calibri"/>
          <w:sz w:val="24"/>
          <w:szCs w:val="24"/>
          <w:lang w:eastAsia="ro-RO"/>
        </w:rPr>
        <w:t xml:space="preserve">s-a înființat </w:t>
      </w:r>
      <w:r>
        <w:rPr>
          <w:rFonts w:ascii="Calibri" w:eastAsia="Times New Roman" w:hAnsi="Calibri" w:cs="Calibri"/>
          <w:sz w:val="24"/>
          <w:szCs w:val="24"/>
          <w:lang w:eastAsia="ro-RO"/>
        </w:rPr>
        <w:t>î</w:t>
      </w:r>
      <w:r w:rsidRPr="0098325D">
        <w:rPr>
          <w:rFonts w:ascii="Calibri" w:eastAsia="Times New Roman" w:hAnsi="Calibri" w:cs="Calibri"/>
          <w:sz w:val="24"/>
          <w:szCs w:val="24"/>
          <w:lang w:eastAsia="ro-RO"/>
        </w:rPr>
        <w:t>n anul 2009 ca operator regional cu personalitate juridică și de utilitate publică și care funcționează pe baza de gestiune economică și autonomie financiară,  pentru administrarea în comun a fondului forestier, gestionarea fondului cinegetic și realizarea serviciilor silvice aferente terenurilor din fondul forestier proprietate publică a municipiului Bistrița și a comunei Livezile, în conformitate cu prevederile art.17, 36 alin. 2 lit. a și alin. 3 lit. c. din Legea Administrației Publice Locale nr.215/2001</w:t>
      </w:r>
      <w:r w:rsidR="006E141B">
        <w:rPr>
          <w:rFonts w:ascii="Calibri" w:eastAsia="Times New Roman" w:hAnsi="Calibri" w:cs="Calibri"/>
          <w:sz w:val="24"/>
          <w:szCs w:val="24"/>
          <w:lang w:eastAsia="ro-RO"/>
        </w:rPr>
        <w:t>(</w:t>
      </w:r>
      <w:r w:rsidR="006E141B">
        <w:rPr>
          <w:rFonts w:ascii="Calibri" w:hAnsi="Calibri" w:cs="Calibri"/>
          <w:lang w:val="it-IT"/>
        </w:rPr>
        <w:t>(Legea nr.57/2019 privind codul administrativ, cu modificarile si completarile ulterioare)</w:t>
      </w:r>
      <w:r w:rsidRPr="0098325D">
        <w:rPr>
          <w:rFonts w:ascii="Calibri" w:eastAsia="Times New Roman" w:hAnsi="Calibri" w:cs="Calibri"/>
          <w:sz w:val="24"/>
          <w:szCs w:val="24"/>
          <w:lang w:eastAsia="ro-RO"/>
        </w:rPr>
        <w:t>,  Legii nr.15/1990 privind reorganizarea unităților economice de stat ca regii autonome și societăți comerciale, cu completările și modificările ulterioare, Ordonanței de urgență nr.109/2001 privind guvernanța corporativă a întreprinderilor publice</w:t>
      </w:r>
      <w:r w:rsidR="0095326E">
        <w:rPr>
          <w:rFonts w:ascii="Calibri" w:eastAsia="Times New Roman" w:hAnsi="Calibri" w:cs="Calibri"/>
          <w:sz w:val="24"/>
          <w:szCs w:val="24"/>
          <w:lang w:eastAsia="ro-RO"/>
        </w:rPr>
        <w:t xml:space="preserve"> cu modificarile si completarile ulterioare</w:t>
      </w:r>
      <w:r w:rsidRPr="0098325D">
        <w:rPr>
          <w:rFonts w:ascii="Calibri" w:eastAsia="Times New Roman" w:hAnsi="Calibri" w:cs="Calibri"/>
          <w:sz w:val="24"/>
          <w:szCs w:val="24"/>
          <w:lang w:eastAsia="ro-RO"/>
        </w:rPr>
        <w:t>,  Legii nr.</w:t>
      </w:r>
      <w:r w:rsidR="0095326E">
        <w:rPr>
          <w:rFonts w:ascii="Calibri" w:eastAsia="Times New Roman" w:hAnsi="Calibri" w:cs="Calibri"/>
          <w:sz w:val="24"/>
          <w:szCs w:val="24"/>
          <w:lang w:eastAsia="ro-RO"/>
        </w:rPr>
        <w:t>331</w:t>
      </w:r>
      <w:r w:rsidRPr="0098325D">
        <w:rPr>
          <w:rFonts w:ascii="Calibri" w:eastAsia="Times New Roman" w:hAnsi="Calibri" w:cs="Calibri"/>
          <w:sz w:val="24"/>
          <w:szCs w:val="24"/>
          <w:lang w:eastAsia="ro-RO"/>
        </w:rPr>
        <w:t>/20</w:t>
      </w:r>
      <w:r w:rsidR="0095326E">
        <w:rPr>
          <w:rFonts w:ascii="Calibri" w:eastAsia="Times New Roman" w:hAnsi="Calibri" w:cs="Calibri"/>
          <w:sz w:val="24"/>
          <w:szCs w:val="24"/>
          <w:lang w:eastAsia="ro-RO"/>
        </w:rPr>
        <w:t>24</w:t>
      </w:r>
      <w:r w:rsidRPr="0098325D">
        <w:rPr>
          <w:rFonts w:ascii="Calibri" w:eastAsia="Times New Roman" w:hAnsi="Calibri" w:cs="Calibri"/>
          <w:sz w:val="24"/>
          <w:szCs w:val="24"/>
          <w:lang w:eastAsia="ro-RO"/>
        </w:rPr>
        <w:t>-Codul silvic, cu modificările şi completările ulterioare, Ordinul 904/2010 al ministrului mediului și pădurilor pentru aprobarea Procedurii privind constituirea și autorizarea ocoalelor silvice și atribuțiile acestora, modelul documentelor de constituire, organizare și funcționare precum și conținutul Registrului național al administratorilor de păduri și al ocoalelor silvice</w:t>
      </w:r>
    </w:p>
    <w:p w14:paraId="5FD041ED" w14:textId="77777777" w:rsidR="0098325D" w:rsidRPr="0098325D" w:rsidRDefault="0098325D" w:rsidP="0098325D">
      <w:pPr>
        <w:spacing w:after="0" w:line="240" w:lineRule="auto"/>
        <w:contextualSpacing/>
        <w:jc w:val="both"/>
        <w:rPr>
          <w:rFonts w:ascii="Calibri" w:eastAsia="Times New Roman" w:hAnsi="Calibri" w:cs="Calibri"/>
          <w:sz w:val="24"/>
          <w:szCs w:val="24"/>
          <w:lang w:eastAsia="ro-RO"/>
        </w:rPr>
      </w:pPr>
      <w:r w:rsidRPr="0098325D">
        <w:rPr>
          <w:rFonts w:ascii="Calibri" w:eastAsia="Times New Roman" w:hAnsi="Calibri" w:cs="Calibri"/>
          <w:sz w:val="24"/>
          <w:szCs w:val="24"/>
          <w:lang w:eastAsia="ro-RO"/>
        </w:rPr>
        <w:t>Membrii fondatori ai Regiei Publice Locală Ocolul Silvic al municipiului Bistrița R.A. sunt: Municipiul Bistrița, prin Consiliul local al municipiului Bistriţa, cu sediul în Bistriţa, Piaţa Centrală nr. 6 și Comuna Livezile, prin Consiliul Local al comunei Livezile, cu sediul în comuna Livezile, Str. Căminului, nr.164.</w:t>
      </w:r>
    </w:p>
    <w:p w14:paraId="537E18D5" w14:textId="77777777" w:rsidR="0098325D" w:rsidRPr="0098325D" w:rsidRDefault="0098325D" w:rsidP="0098325D">
      <w:pPr>
        <w:spacing w:after="0" w:line="240" w:lineRule="auto"/>
        <w:contextualSpacing/>
        <w:jc w:val="both"/>
        <w:rPr>
          <w:rFonts w:ascii="Calibri" w:eastAsia="Times New Roman" w:hAnsi="Calibri" w:cs="Calibri"/>
          <w:sz w:val="24"/>
          <w:szCs w:val="24"/>
          <w:lang w:eastAsia="ro-RO"/>
        </w:rPr>
      </w:pPr>
    </w:p>
    <w:p w14:paraId="42E97CE5" w14:textId="572A3805" w:rsidR="0098325D" w:rsidRPr="005A4DFF" w:rsidRDefault="0098325D" w:rsidP="0098325D">
      <w:pPr>
        <w:spacing w:after="0" w:line="240" w:lineRule="auto"/>
        <w:contextualSpacing/>
        <w:jc w:val="both"/>
        <w:rPr>
          <w:rFonts w:ascii="Calibri" w:hAnsi="Calibri" w:cs="Calibri"/>
          <w:b/>
          <w:bCs/>
          <w:sz w:val="24"/>
          <w:szCs w:val="24"/>
        </w:rPr>
      </w:pPr>
      <w:r w:rsidRPr="005A4DFF">
        <w:rPr>
          <w:rFonts w:ascii="Calibri" w:hAnsi="Calibri" w:cs="Calibri"/>
          <w:b/>
          <w:bCs/>
          <w:sz w:val="24"/>
          <w:szCs w:val="24"/>
        </w:rPr>
        <w:t xml:space="preserve">Obiectivele Regiei Autonome Ocolul Silvic </w:t>
      </w:r>
      <w:r w:rsidR="00BB7C48" w:rsidRPr="005A4DFF">
        <w:rPr>
          <w:rFonts w:ascii="Calibri" w:hAnsi="Calibri" w:cs="Calibri"/>
          <w:b/>
          <w:bCs/>
          <w:sz w:val="24"/>
          <w:szCs w:val="24"/>
        </w:rPr>
        <w:t>al municipiului Bistrița R.A.</w:t>
      </w:r>
    </w:p>
    <w:p w14:paraId="12693A7B" w14:textId="3899F379" w:rsidR="0098325D" w:rsidRPr="005A4DFF" w:rsidRDefault="0098325D" w:rsidP="0098325D">
      <w:pPr>
        <w:pStyle w:val="ListParagraph"/>
        <w:numPr>
          <w:ilvl w:val="0"/>
          <w:numId w:val="1"/>
        </w:numPr>
        <w:spacing w:after="0" w:line="240" w:lineRule="auto"/>
        <w:ind w:left="567" w:hanging="567"/>
        <w:jc w:val="both"/>
        <w:rPr>
          <w:rFonts w:ascii="Calibri" w:hAnsi="Calibri" w:cs="Calibri"/>
          <w:sz w:val="24"/>
          <w:szCs w:val="24"/>
        </w:rPr>
      </w:pPr>
      <w:r w:rsidRPr="005A4DFF">
        <w:rPr>
          <w:rFonts w:ascii="Calibri" w:hAnsi="Calibri" w:cs="Calibri"/>
          <w:sz w:val="24"/>
          <w:szCs w:val="24"/>
        </w:rPr>
        <w:t>Realizarea indicatorilor de performanță financiari și nefinanciari stabiliți potrivit O.U.G. nr. 109/2011</w:t>
      </w:r>
      <w:r w:rsidR="00BB7C48" w:rsidRPr="005A4DFF">
        <w:rPr>
          <w:rFonts w:ascii="Calibri" w:hAnsi="Calibri" w:cs="Calibri"/>
          <w:sz w:val="24"/>
          <w:szCs w:val="24"/>
        </w:rPr>
        <w:t xml:space="preserve"> cu </w:t>
      </w:r>
      <w:r w:rsidR="00E52C33">
        <w:rPr>
          <w:rFonts w:ascii="Calibri" w:hAnsi="Calibri" w:cs="Calibri"/>
          <w:sz w:val="24"/>
          <w:szCs w:val="24"/>
        </w:rPr>
        <w:t xml:space="preserve">completarile si </w:t>
      </w:r>
      <w:r w:rsidR="00BB7C48" w:rsidRPr="005A4DFF">
        <w:rPr>
          <w:rFonts w:ascii="Calibri" w:hAnsi="Calibri" w:cs="Calibri"/>
          <w:sz w:val="24"/>
          <w:szCs w:val="24"/>
        </w:rPr>
        <w:t>modificările ulterioare, și de către AMEPIP</w:t>
      </w:r>
      <w:r w:rsidRPr="005A4DFF">
        <w:rPr>
          <w:rFonts w:ascii="Calibri" w:hAnsi="Calibri" w:cs="Calibri"/>
          <w:sz w:val="24"/>
          <w:szCs w:val="24"/>
        </w:rPr>
        <w:t>;</w:t>
      </w:r>
    </w:p>
    <w:p w14:paraId="69F539A0" w14:textId="77777777" w:rsidR="0098325D" w:rsidRPr="005A4DFF" w:rsidRDefault="0098325D" w:rsidP="0098325D">
      <w:pPr>
        <w:pStyle w:val="ListParagraph"/>
        <w:numPr>
          <w:ilvl w:val="0"/>
          <w:numId w:val="1"/>
        </w:numPr>
        <w:spacing w:after="0" w:line="240" w:lineRule="auto"/>
        <w:ind w:left="567" w:hanging="567"/>
        <w:jc w:val="both"/>
        <w:rPr>
          <w:rFonts w:ascii="Calibri" w:hAnsi="Calibri" w:cs="Calibri"/>
          <w:sz w:val="24"/>
          <w:szCs w:val="24"/>
        </w:rPr>
      </w:pPr>
      <w:r w:rsidRPr="005A4DFF">
        <w:rPr>
          <w:rFonts w:ascii="Calibri" w:eastAsia="Times New Roman" w:hAnsi="Calibri" w:cs="Calibri"/>
          <w:sz w:val="24"/>
          <w:szCs w:val="24"/>
          <w:lang w:eastAsia="ro-RO"/>
        </w:rPr>
        <w:t>Asigurarea integrităţii fondului forestier şi creşterea suprafeţei acestuia</w:t>
      </w:r>
      <w:r w:rsidRPr="005A4DFF">
        <w:rPr>
          <w:rFonts w:ascii="Calibri" w:hAnsi="Calibri" w:cs="Calibri"/>
          <w:sz w:val="24"/>
          <w:szCs w:val="24"/>
        </w:rPr>
        <w:t>;</w:t>
      </w:r>
    </w:p>
    <w:p w14:paraId="7FB0B11F" w14:textId="77777777" w:rsidR="0098325D" w:rsidRPr="005A4DFF" w:rsidRDefault="0098325D" w:rsidP="0098325D">
      <w:pPr>
        <w:pStyle w:val="ListParagraph"/>
        <w:numPr>
          <w:ilvl w:val="0"/>
          <w:numId w:val="1"/>
        </w:numPr>
        <w:spacing w:after="0" w:line="240" w:lineRule="auto"/>
        <w:ind w:left="567" w:hanging="567"/>
        <w:jc w:val="both"/>
        <w:rPr>
          <w:rFonts w:ascii="Calibri" w:hAnsi="Calibri" w:cs="Calibri"/>
          <w:sz w:val="24"/>
          <w:szCs w:val="24"/>
        </w:rPr>
      </w:pPr>
      <w:r w:rsidRPr="005A4DFF">
        <w:rPr>
          <w:rFonts w:ascii="Calibri" w:hAnsi="Calibri" w:cs="Calibri"/>
          <w:sz w:val="24"/>
          <w:szCs w:val="24"/>
        </w:rPr>
        <w:t>Recoltarea și valorificarea masei lemnoase, în conformitate cu prevederile amenajamentelor silvice și în condițiile, modalitățile și proporțiile stabilite de Codul Silvic și legislația în vigoare;</w:t>
      </w:r>
    </w:p>
    <w:p w14:paraId="3887F816" w14:textId="77777777" w:rsidR="0098325D" w:rsidRPr="005A4DFF" w:rsidRDefault="0098325D" w:rsidP="0098325D">
      <w:pPr>
        <w:pStyle w:val="ListParagraph"/>
        <w:numPr>
          <w:ilvl w:val="0"/>
          <w:numId w:val="1"/>
        </w:numPr>
        <w:spacing w:after="0" w:line="240" w:lineRule="auto"/>
        <w:ind w:left="567" w:hanging="567"/>
        <w:jc w:val="both"/>
        <w:rPr>
          <w:rFonts w:ascii="Calibri" w:hAnsi="Calibri" w:cs="Calibri"/>
          <w:sz w:val="24"/>
          <w:szCs w:val="24"/>
        </w:rPr>
      </w:pPr>
      <w:r w:rsidRPr="005A4DFF">
        <w:rPr>
          <w:rFonts w:ascii="Calibri" w:hAnsi="Calibri" w:cs="Calibri"/>
          <w:sz w:val="24"/>
          <w:szCs w:val="24"/>
        </w:rPr>
        <w:t xml:space="preserve"> Recoltarea și valorificarea produselor specifice fondului forestier, în condițiile Codului Silvic și a legislației subsecvente;</w:t>
      </w:r>
    </w:p>
    <w:p w14:paraId="5345275A" w14:textId="77777777" w:rsidR="0098325D" w:rsidRPr="005A4DFF" w:rsidRDefault="0098325D" w:rsidP="0098325D">
      <w:pPr>
        <w:pStyle w:val="ListParagraph"/>
        <w:numPr>
          <w:ilvl w:val="0"/>
          <w:numId w:val="1"/>
        </w:numPr>
        <w:spacing w:after="0" w:line="240" w:lineRule="auto"/>
        <w:ind w:left="567" w:hanging="567"/>
        <w:jc w:val="both"/>
        <w:rPr>
          <w:rFonts w:ascii="Calibri" w:hAnsi="Calibri" w:cs="Calibri"/>
          <w:sz w:val="24"/>
          <w:szCs w:val="24"/>
        </w:rPr>
      </w:pPr>
      <w:r w:rsidRPr="005A4DFF">
        <w:rPr>
          <w:rFonts w:ascii="Calibri" w:hAnsi="Calibri" w:cs="Calibri"/>
          <w:sz w:val="24"/>
          <w:szCs w:val="24"/>
        </w:rPr>
        <w:t>Digitalizarea proceselor interne și a serviciilor oferite către clienții persoane fizice și juridice;</w:t>
      </w:r>
    </w:p>
    <w:p w14:paraId="1F038CDA" w14:textId="77777777" w:rsidR="0098325D" w:rsidRPr="005A4DFF" w:rsidRDefault="0098325D" w:rsidP="0098325D">
      <w:pPr>
        <w:pStyle w:val="ListParagraph"/>
        <w:numPr>
          <w:ilvl w:val="0"/>
          <w:numId w:val="1"/>
        </w:numPr>
        <w:spacing w:after="0" w:line="240" w:lineRule="auto"/>
        <w:ind w:left="567" w:hanging="567"/>
        <w:jc w:val="both"/>
        <w:rPr>
          <w:rFonts w:ascii="Calibri" w:hAnsi="Calibri" w:cs="Calibri"/>
          <w:sz w:val="24"/>
          <w:szCs w:val="24"/>
        </w:rPr>
      </w:pPr>
      <w:r w:rsidRPr="005A4DFF">
        <w:rPr>
          <w:rFonts w:ascii="Calibri" w:hAnsi="Calibri" w:cs="Calibri"/>
          <w:sz w:val="24"/>
          <w:szCs w:val="24"/>
        </w:rPr>
        <w:t>Îmbunătățirea imaginii sectorului silvic, promovarea unei imagini pozitive a Regiei Autonome și asigurarea educației forestiere prin îmbunătățirea comunicării publice și transparentizarea activităților desfășurate.</w:t>
      </w:r>
    </w:p>
    <w:p w14:paraId="53C51DF8" w14:textId="77777777" w:rsidR="00BB7C48" w:rsidRPr="005A4DFF" w:rsidRDefault="00BB7C48" w:rsidP="0098325D">
      <w:pPr>
        <w:spacing w:after="0" w:line="240" w:lineRule="auto"/>
        <w:jc w:val="both"/>
        <w:rPr>
          <w:rFonts w:ascii="Calibri" w:eastAsia="Calibri" w:hAnsi="Calibri" w:cs="Times New Roman"/>
          <w:kern w:val="0"/>
          <w:sz w:val="24"/>
          <w:szCs w:val="24"/>
          <w14:ligatures w14:val="none"/>
        </w:rPr>
      </w:pPr>
    </w:p>
    <w:p w14:paraId="23F6DBEF" w14:textId="28796284" w:rsidR="0098325D" w:rsidRPr="004F51B8" w:rsidRDefault="0098325D" w:rsidP="0098325D">
      <w:pPr>
        <w:spacing w:after="0" w:line="240" w:lineRule="auto"/>
        <w:jc w:val="both"/>
        <w:rPr>
          <w:rFonts w:ascii="Calibri" w:hAnsi="Calibri" w:cs="Calibri"/>
          <w:color w:val="000000"/>
          <w:sz w:val="24"/>
          <w:szCs w:val="24"/>
        </w:rPr>
      </w:pPr>
      <w:r w:rsidRPr="0098325D">
        <w:rPr>
          <w:rFonts w:ascii="Calibri" w:hAnsi="Calibri" w:cs="Calibri"/>
          <w:color w:val="000000"/>
          <w:sz w:val="24"/>
          <w:szCs w:val="24"/>
        </w:rPr>
        <w:t xml:space="preserve">Asociația Intercomunitară Silvică Bistriţa-Livezile în calitate de Autoritate Publică Tutelară </w:t>
      </w:r>
      <w:r w:rsidRPr="004F51B8">
        <w:rPr>
          <w:rFonts w:ascii="Calibri" w:hAnsi="Calibri" w:cs="Calibri"/>
          <w:color w:val="000000"/>
          <w:sz w:val="24"/>
          <w:szCs w:val="24"/>
        </w:rPr>
        <w:t xml:space="preserve">își propune ca, pentru un mandat de 4 ani, Consiliul de Administrație al Regiei să fie constituit din 3 membri. </w:t>
      </w:r>
    </w:p>
    <w:p w14:paraId="506019E5" w14:textId="77777777" w:rsidR="0098325D" w:rsidRPr="004F51B8" w:rsidRDefault="0098325D" w:rsidP="0098325D">
      <w:pPr>
        <w:spacing w:after="0" w:line="240" w:lineRule="auto"/>
        <w:jc w:val="both"/>
        <w:rPr>
          <w:rFonts w:ascii="Calibri" w:hAnsi="Calibri" w:cs="Calibri"/>
          <w:sz w:val="24"/>
          <w:szCs w:val="24"/>
        </w:rPr>
      </w:pPr>
      <w:r w:rsidRPr="004F51B8">
        <w:rPr>
          <w:rFonts w:ascii="Calibri" w:hAnsi="Calibri" w:cs="Calibri"/>
          <w:sz w:val="24"/>
          <w:szCs w:val="24"/>
        </w:rPr>
        <w:t>Totodată, conform art. 5, OUG 109/2011, se vor respecta următoarele prevederi referitoare la administrarea Regiilor Autonome:</w:t>
      </w:r>
    </w:p>
    <w:p w14:paraId="11CE3744" w14:textId="77777777" w:rsidR="0098325D" w:rsidRPr="004F51B8" w:rsidRDefault="0098325D" w:rsidP="0098325D">
      <w:pPr>
        <w:autoSpaceDE w:val="0"/>
        <w:autoSpaceDN w:val="0"/>
        <w:adjustRightInd w:val="0"/>
        <w:spacing w:after="0" w:line="240" w:lineRule="auto"/>
        <w:jc w:val="both"/>
        <w:rPr>
          <w:rFonts w:ascii="Calibri" w:hAnsi="Calibri" w:cs="Calibri"/>
          <w:color w:val="000000"/>
          <w:sz w:val="24"/>
          <w:szCs w:val="24"/>
        </w:rPr>
      </w:pPr>
    </w:p>
    <w:p w14:paraId="2F2AF3B6"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Pentru alcătuirea Consiliului de Administrație se vor ține cont de următoarele:</w:t>
      </w:r>
    </w:p>
    <w:p w14:paraId="1DD455F3"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(1) Regia autonomă este administrată de un consiliu de administraţie format din 3-5 persoane, dintre care cel mult 2 sunt desemnate de autoritatea publică tutelară.</w:t>
      </w:r>
    </w:p>
    <w:p w14:paraId="75F21408"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lastRenderedPageBreak/>
        <w:t>(2) Fiecare membru al consiliului de administraţie trebuie să aibă studii superioare şi experienţă în domeniul ştiinţelor inginereşti, economice, sociale, juridice sau în domeniul de activitate al respectivei întreprinderi publice de cel puţin 7 ani.</w:t>
      </w:r>
    </w:p>
    <w:p w14:paraId="62F75F0E"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(3) Membrii consiliului de administraţie, care nu sunt desemnaţi conform alin. (1), se numesc de către autoritatea publică tutelară, la propunerea comisiei de selecţie şi nominalizare. În cazul membrilor desemnaţi de autoritatea publică tutelară, desemnarea se face la propunerea unei comisii constituite la nivelul acesteia, dispoziţiile alin. (2) aplicându-se în mod corespunzător. Informaţiile legate de aceste desemnări şi numiri se transmit către AMEPIP, care verifică respectarea de către autoritatea publică tutelară centrală a dispoziţiilor alin. (2) şi, în termen de 10 zile de la primirea informării, emite un aviz conform prin care aprobă sau anulează desemnarea membrului respectiv.</w:t>
      </w:r>
    </w:p>
    <w:p w14:paraId="47068882"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(4) Majoritatea membrilor consiliului de administraţie este formată din administratori neexecutivi şi independenţi, în sensul art. 1382 din Legea nr. 31/1990, republicată, cu modificările şi completările ulterioare. Înalţii funcţionari publici, funcţionarii publici şi personalul contractual din cadrul autorităţii publice tutelare ori din cadrul altor autorităţi sau instituţii publice nu pot fi consideraţi independenţi.</w:t>
      </w:r>
    </w:p>
    <w:p w14:paraId="60AFB6B2"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(5) Stabilirea numărului de membri ai consiliului de administraţie se face cu respectarea principiilor prevăzute de Legea nr. 202/2002 privind egalitatea de şanse şi de tratament între femei şi bărbaţi, republicată, cu modificările şi completările ulterioare, astfel încât cel puţin o treime din totalul administratorilor să fie femei şi cel puţin o treime din totalul administratorilor să fie bărbaţi; consiliul de administraţie nu poate fi format în exclusivitate din persoane de acelaşi gen.</w:t>
      </w:r>
    </w:p>
    <w:p w14:paraId="5000B1D7"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(6). Cel puţin un membru al Consiliului de Administrație este calificat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14:paraId="45B36384"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(7).  În mod obligatoriu, în selecţia candidaţilor se va avea în vedere evitarea situaţiilor de conflict de interese sau incompatibilităţi;</w:t>
      </w:r>
    </w:p>
    <w:p w14:paraId="0DFD93B3"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(8). Mandatul administratorilor este stabilit prin actul constitutiv, neputând depăşi 4 ani;</w:t>
      </w:r>
    </w:p>
    <w:p w14:paraId="5417FE36"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Nu pot fi administratori persoanele care, potrivit legii, sunt incapabile ori care au fost condamnate pentru infracţiuni contra patrimoniului prin nesocotirea încrederii, infracţiuni de corupţie, delapidare, infracţiuni de fals în înscrisuri, evaziune fiscală, infracţiuni prevăzute de Legea nr.656/2002 pentru prevenirea şi sancţionarea spălării banilor, precum şi pentru instituirea unor măsuri de prevenire şi combatere a finanţării terorismului, republicată, cu modificările ulterioare; </w:t>
      </w:r>
    </w:p>
    <w:p w14:paraId="378042B2"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Pe durata îndeplinirii mandatului, administratorii nu pot încheia cu societatea un contract de muncă. În cazul în care administratorii au fost desemnați dintre salariații societății, contractul individual de muncă este suspendat pe perioada mandatului. Mandatul Administratorilor este de 4 (patru) ani. Membrii Consiliului pot fi realeși. Președintele Consiliului de Administrație este ales din rândul Administratorilor de Adunarea generală a </w:t>
      </w:r>
      <w:r w:rsidRPr="004F51B8">
        <w:rPr>
          <w:rFonts w:ascii="Calibri" w:hAnsi="Calibri" w:cs="Calibri"/>
          <w:sz w:val="24"/>
          <w:szCs w:val="24"/>
        </w:rPr>
        <w:lastRenderedPageBreak/>
        <w:t>asociaților care alege membrii Consiliului de Administrație pentru o durata care nu poate depăși durata mandatului sau de administrator.</w:t>
      </w:r>
    </w:p>
    <w:p w14:paraId="4E8B81C7" w14:textId="5BBFB85C"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Consiliul de </w:t>
      </w:r>
      <w:r w:rsidR="00BB7C48">
        <w:rPr>
          <w:rFonts w:ascii="Calibri" w:hAnsi="Calibri" w:cs="Calibri"/>
          <w:sz w:val="24"/>
          <w:szCs w:val="24"/>
        </w:rPr>
        <w:t>A</w:t>
      </w:r>
      <w:r w:rsidRPr="004F51B8">
        <w:rPr>
          <w:rFonts w:ascii="Calibri" w:hAnsi="Calibri" w:cs="Calibri"/>
          <w:sz w:val="24"/>
          <w:szCs w:val="24"/>
        </w:rPr>
        <w:t>dministraţie are următoarele atribuţii de bază:</w:t>
      </w:r>
    </w:p>
    <w:p w14:paraId="58FE8456"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a) numeşte şi revocă directorii şi stabileşte remuneraţia acestora;</w:t>
      </w:r>
    </w:p>
    <w:p w14:paraId="3727B74D"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b) analizează şi aprobă planul de administrare elaborat în colaborare cu directorii, în acord cu scrisoarea de aşteptări şi cu declaraţiile de intenţie;</w:t>
      </w:r>
    </w:p>
    <w:p w14:paraId="09AFD992"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c) negociază indicatorii de performanţă financiari şi nefinanciari cu autoritatea publică tutelară;</w:t>
      </w:r>
    </w:p>
    <w:p w14:paraId="3A3A6C4A"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d) asigură integritatea şi funcţionalitatea sistemelor de raportare contabilă şi financiară, precum şi realizarea planificării financiare;</w:t>
      </w:r>
    </w:p>
    <w:p w14:paraId="6E5919D6"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e) verifică funcţionarea sistemului de control intern sau managerial;</w:t>
      </w:r>
    </w:p>
    <w:p w14:paraId="6B412777"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f) monitorizează şi evaluează performanţa directorilor;</w:t>
      </w:r>
    </w:p>
    <w:p w14:paraId="3D9402D5"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g) întocmeşte raportul semestrial privind activitatea regiei autonome, pe care îl prezintă autorităţii publice tutelare;</w:t>
      </w:r>
    </w:p>
    <w:p w14:paraId="723D6FEE"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h) monitorizează şi gestionează potenţialele conflicte de interese de la nivelul organelor de administrare şi conducere;</w:t>
      </w:r>
    </w:p>
    <w:p w14:paraId="39FBF366"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i) supervizează sistemul de transparenţă şi de comunicare;</w:t>
      </w:r>
    </w:p>
    <w:p w14:paraId="11B5664D"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j) monitorizează eficacitatea practicilor de guvernanţă corporativă ale regiei autonome;</w:t>
      </w:r>
    </w:p>
    <w:p w14:paraId="77224E11"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k) raportează trimestrial autorităţii publice tutelare modul de îndeplinire a indicatorilor-cheie de performanţă, anexă la contractul de mandat, precum şi alte date şi informaţii de interes pentru autoritatea publică tutelară, la solicitarea acesteia.</w:t>
      </w:r>
    </w:p>
    <w:p w14:paraId="7A19E7EB"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În conformitate cu prevederile art.34 din Ordonanța de urgență a Guvernului nr.109/2011, în cadrul consiliului de administraţie se constituie comitetul de nominalizare şi remunerare, comitetul de gestionare a riscurilor şi comitetul de audit. În cazul consiliilor formate din 3 membri, funcţiile comitetului de gestionare a riscurilor se pot delega comitetului de audit, cu înştiinţarea autorităţii publice tutelare. </w:t>
      </w:r>
    </w:p>
    <w:p w14:paraId="4EE32B6A" w14:textId="77777777" w:rsidR="0098325D" w:rsidRPr="004F51B8" w:rsidRDefault="0098325D" w:rsidP="0098325D">
      <w:pPr>
        <w:spacing w:after="0" w:line="240" w:lineRule="auto"/>
        <w:ind w:firstLine="720"/>
        <w:jc w:val="both"/>
        <w:rPr>
          <w:rFonts w:ascii="Calibri" w:hAnsi="Calibri" w:cs="Calibri"/>
          <w:sz w:val="24"/>
          <w:szCs w:val="24"/>
        </w:rPr>
      </w:pPr>
      <w:r w:rsidRPr="0098325D">
        <w:rPr>
          <w:rFonts w:ascii="Calibri" w:hAnsi="Calibri" w:cs="Calibri"/>
          <w:b/>
          <w:bCs/>
          <w:sz w:val="24"/>
          <w:szCs w:val="24"/>
        </w:rPr>
        <w:t>1. Comitetul de nominalizare şi remunerare</w:t>
      </w:r>
      <w:r w:rsidRPr="004F51B8">
        <w:rPr>
          <w:rFonts w:ascii="Calibri" w:hAnsi="Calibri" w:cs="Calibri"/>
          <w:sz w:val="24"/>
          <w:szCs w:val="24"/>
        </w:rPr>
        <w:t xml:space="preserve"> - organizează sesiuni de instruire pentru membrii consiliului, formulează propuneri de remunerare a administratorilor şi directorilor, cu respectarea politicii de remunerare transmise de AMEPIP, şi sprijină consiliul în evaluarea propriei performanţe, precum şi a performanţei conducerii executive.</w:t>
      </w:r>
    </w:p>
    <w:p w14:paraId="7C0563E3"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Comitetul poate fi format din cel puțin 2 administratori neexecutivi, din care președintele comitetului trebuie să fie administrator neexecutiv independent, conform Legii 31/1990 privind societățile. </w:t>
      </w:r>
    </w:p>
    <w:p w14:paraId="75D5E842"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Principalele atribuții ale Comitetului de nominalizare și remunerare sunt:</w:t>
      </w:r>
    </w:p>
    <w:p w14:paraId="2A3C224A"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a) propune Consiliului de administrație procedura de selecție a candidaților pentru funcția de directori și recomandă numirea directorilor;</w:t>
      </w:r>
    </w:p>
    <w:p w14:paraId="5FFC4387"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b) evaluează cumulul de competențe profesionale, cunoștințe și experiențe la nivelul Consiliului de administrație;</w:t>
      </w:r>
    </w:p>
    <w:p w14:paraId="6BB7794B"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c) actualizează permanent competențele profesionale ale membrilor Consiliului de administrație, coordonând îmbunătățirea cunoștințelor acestora în scopul aplicării celor mai bune practici de guvernanță corporativă; </w:t>
      </w:r>
    </w:p>
    <w:p w14:paraId="78B5179F"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d) organizează sesiuni de instruire pentru membrii consiliului;</w:t>
      </w:r>
    </w:p>
    <w:p w14:paraId="565825D2"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d) formulează propuneri privind remunerarea administratorilor și directorilor, în ceea ce privește cuantumul și condițiile de acordare a remunerațiilor cuvenite, cu respectarea politicii de remunerare;</w:t>
      </w:r>
    </w:p>
    <w:p w14:paraId="0EAFDB42"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e) în stabilirea remunerației administratorilor, Comitetul de nominalizare și remunerare va respecta principiul proporționalității acestei remunerații cu responsabilitatea și timpul </w:t>
      </w:r>
      <w:r w:rsidRPr="004F51B8">
        <w:rPr>
          <w:rFonts w:ascii="Calibri" w:hAnsi="Calibri" w:cs="Calibri"/>
          <w:sz w:val="24"/>
          <w:szCs w:val="24"/>
        </w:rPr>
        <w:lastRenderedPageBreak/>
        <w:t>alocat exercitării funcțiilor de către aceștia, în cadrul Comitetelor consultative constituite la nivelul Consiliului de Administrație;</w:t>
      </w:r>
    </w:p>
    <w:p w14:paraId="0B7B3105"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f) identifică criterii și obiective privind orice scheme de remunerare pe bază de performanță (alte beneficii financiare), fiind autorizat de către Consiliul de administrație să solicite orice informații pe care le consideră necesare în scopul îndeplinirii atribuțiilor sale;</w:t>
      </w:r>
    </w:p>
    <w:p w14:paraId="10144F95"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g) analizează, evaluează și propune Consiliului de administrație orice angajament de plată sau compensație ce urmează a fi prevăzută în Contractul de mandat al administratorilor sau directorilor;</w:t>
      </w:r>
    </w:p>
    <w:p w14:paraId="763DB488"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h) supraveghează aplicarea principiilor politicii de remunerare a administratorilor și a directorilor și informează Consiliul de administrație cu privire la aceasta;</w:t>
      </w:r>
    </w:p>
    <w:p w14:paraId="3843C875"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i) prezintă Consiliului de administrație si Adunării Generale a Asociaților care aprobă situațiile financiare anuale un raport anual, cu privire la remunerațiile și alte avantaje acordate administratorilor și directorilor în cursul anului financiar anterior, raport structurat conform prevederilor O.U.G. nr.109/2011 privind Guvernanță corporativă a întreprinderilor publice.</w:t>
      </w:r>
    </w:p>
    <w:p w14:paraId="1B6DFE82" w14:textId="77777777" w:rsidR="0098325D" w:rsidRPr="004F51B8" w:rsidRDefault="0098325D" w:rsidP="0098325D">
      <w:pPr>
        <w:spacing w:after="0" w:line="240" w:lineRule="auto"/>
        <w:ind w:firstLine="720"/>
        <w:jc w:val="both"/>
        <w:rPr>
          <w:rFonts w:ascii="Calibri" w:hAnsi="Calibri" w:cs="Calibri"/>
          <w:sz w:val="24"/>
          <w:szCs w:val="24"/>
        </w:rPr>
      </w:pPr>
    </w:p>
    <w:p w14:paraId="65C97812" w14:textId="77777777" w:rsidR="0098325D" w:rsidRPr="0098325D" w:rsidRDefault="0098325D" w:rsidP="0098325D">
      <w:pPr>
        <w:spacing w:after="0" w:line="240" w:lineRule="auto"/>
        <w:ind w:firstLine="720"/>
        <w:jc w:val="both"/>
        <w:rPr>
          <w:rFonts w:ascii="Calibri" w:hAnsi="Calibri" w:cs="Calibri"/>
          <w:b/>
          <w:bCs/>
          <w:sz w:val="24"/>
          <w:szCs w:val="24"/>
        </w:rPr>
      </w:pPr>
      <w:r w:rsidRPr="0098325D">
        <w:rPr>
          <w:rFonts w:ascii="Calibri" w:hAnsi="Calibri" w:cs="Calibri"/>
          <w:b/>
          <w:bCs/>
          <w:sz w:val="24"/>
          <w:szCs w:val="24"/>
        </w:rPr>
        <w:t>2. Comitetul de gestionare a riscurilor</w:t>
      </w:r>
    </w:p>
    <w:p w14:paraId="74D6AF47"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Principalele atribuții ale Comitetului de gestionare a riscurilor sunt:</w:t>
      </w:r>
    </w:p>
    <w:p w14:paraId="6B0F3C63"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a) asistă Consiliul de administrație în clasificarea riscurilor specifice companiei și implementarea unui sistem de management a riscului, astfel încât riscurile cu care se confruntă compania, precum și potențialele riscuri, să fie prevăzute, corect identificate, administrate și diseminate către Consiliul de administrație;</w:t>
      </w:r>
    </w:p>
    <w:p w14:paraId="428C9D12"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b) asigură concordanța activităților de control cu riscurile generate de activitățile și procesele care fac obiectul controlului; - identifică, analizează, evaluează, monitorizează și raportează Consiliului de administrație riscurile identificate, planul de măsuri de atenuare sau anticipare a acestora, respectiv alte măsuri luate de conducerea executivă; </w:t>
      </w:r>
    </w:p>
    <w:p w14:paraId="2772A62A"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c) este responsabil cu măsurarea solvabilității societății prin raportare la atribuțiile și obligațiile uzuale ale acesteia;</w:t>
      </w:r>
    </w:p>
    <w:p w14:paraId="745D5EF0"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d) informează, respectiv propune Consiliului de administrație orice măsuri pe care le consideră necesare în scopul îndeplinirii atribuțiilor sale. </w:t>
      </w:r>
    </w:p>
    <w:p w14:paraId="3D101A8B" w14:textId="77777777" w:rsidR="0098325D" w:rsidRPr="004F51B8" w:rsidRDefault="0098325D" w:rsidP="0098325D">
      <w:pPr>
        <w:spacing w:after="0" w:line="240" w:lineRule="auto"/>
        <w:ind w:firstLine="720"/>
        <w:jc w:val="both"/>
        <w:rPr>
          <w:rFonts w:ascii="Calibri" w:hAnsi="Calibri" w:cs="Calibri"/>
          <w:sz w:val="24"/>
          <w:szCs w:val="24"/>
        </w:rPr>
      </w:pPr>
    </w:p>
    <w:p w14:paraId="2DD71BFE" w14:textId="77777777" w:rsidR="0098325D" w:rsidRPr="0098325D" w:rsidRDefault="0098325D" w:rsidP="0098325D">
      <w:pPr>
        <w:spacing w:after="0" w:line="240" w:lineRule="auto"/>
        <w:ind w:firstLine="720"/>
        <w:jc w:val="both"/>
        <w:rPr>
          <w:rFonts w:ascii="Calibri" w:hAnsi="Calibri" w:cs="Calibri"/>
          <w:b/>
          <w:bCs/>
          <w:sz w:val="24"/>
          <w:szCs w:val="24"/>
        </w:rPr>
      </w:pPr>
      <w:r w:rsidRPr="0098325D">
        <w:rPr>
          <w:rFonts w:ascii="Calibri" w:hAnsi="Calibri" w:cs="Calibri"/>
          <w:b/>
          <w:bCs/>
          <w:sz w:val="24"/>
          <w:szCs w:val="24"/>
        </w:rPr>
        <w:t xml:space="preserve">3. Comitetul de audit </w:t>
      </w:r>
    </w:p>
    <w:p w14:paraId="790A2E50" w14:textId="77777777" w:rsidR="00E74166" w:rsidRPr="00E74166" w:rsidRDefault="00E74166" w:rsidP="00E74166">
      <w:pPr>
        <w:spacing w:after="0" w:line="240" w:lineRule="auto"/>
        <w:ind w:firstLine="720"/>
        <w:jc w:val="both"/>
        <w:rPr>
          <w:rFonts w:ascii="Calibri" w:hAnsi="Calibri" w:cs="Calibri"/>
          <w:sz w:val="24"/>
          <w:szCs w:val="24"/>
        </w:rPr>
      </w:pPr>
      <w:r w:rsidRPr="00E74166">
        <w:rPr>
          <w:rFonts w:ascii="Calibri" w:hAnsi="Calibri" w:cs="Calibri"/>
          <w:sz w:val="24"/>
          <w:szCs w:val="24"/>
        </w:rPr>
        <w:t xml:space="preserve">Comitetul de audit este format din administratori neexecutivi, majoritatea administratorilor fiind independenți și din care cel puțin unul este calificat ca auditor financiar conform unui document emis de către autoritatea competentă din România, din alt stat membru, dintr-un stat membru al Asociației Europene a Liberului Schimb, din Elveția sau din Regatul Unit al Marii Britanii și Irlandei de Nord, potrivit legii. </w:t>
      </w:r>
    </w:p>
    <w:p w14:paraId="30599C6B"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Este un comitet permanent cu funcție consultativă și nu se va suprapune activității desfășurate de către auditorii societății. Atribuțiile comitetului de audit sunt cele prevăzute de art.65 din Legea 162/2017 privind auditul statutar al situaţiilor financiare anuale şi al situaţiilor financiare anuale consolidate şi de modificare a unor acte normative: </w:t>
      </w:r>
    </w:p>
    <w:p w14:paraId="78D270BC"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a) examinează în mod regulat eficiența raportării financiare, controlului intern și sistemului de administrare a riscului adoptat de societate; </w:t>
      </w:r>
    </w:p>
    <w:p w14:paraId="3C3BE185" w14:textId="513C2EE8"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b) informează Consiliul de </w:t>
      </w:r>
      <w:r w:rsidR="00E74166">
        <w:rPr>
          <w:rFonts w:ascii="Calibri" w:hAnsi="Calibri" w:cs="Calibri"/>
          <w:sz w:val="24"/>
          <w:szCs w:val="24"/>
        </w:rPr>
        <w:t>A</w:t>
      </w:r>
      <w:r w:rsidRPr="004F51B8">
        <w:rPr>
          <w:rFonts w:ascii="Calibri" w:hAnsi="Calibri" w:cs="Calibri"/>
          <w:sz w:val="24"/>
          <w:szCs w:val="24"/>
        </w:rPr>
        <w:t>dministraţie, cu privire la rezultatele auditului statutar şi explică în ce mod a contribuit auditul statutar la integritatea raportării financiare şi care a fost rolul comitetului de audit în acest proces;</w:t>
      </w:r>
    </w:p>
    <w:p w14:paraId="604783A8"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c) monitorizează procesul de raportare financiară, fiind informat de către auditorul extern cu privire la deficiențele semnificative ale controlului intern în acest domeniu; </w:t>
      </w:r>
    </w:p>
    <w:p w14:paraId="3292A3CA"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lastRenderedPageBreak/>
        <w:t xml:space="preserve">d) monitorizează auditul statutar al situaţiilor financiare anuale şi al situaţiilor financiare anuale consolidate; </w:t>
      </w:r>
    </w:p>
    <w:p w14:paraId="3EA25B78"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e) monitorizează eficacitatea sistemelor controlului intern de calitate şi a sistemelor de management al riscului entităţii şi, după caz, a auditului intern în ceea ce priveşte raportarea financiară a societății, fără a încălca independenţa acestuia;</w:t>
      </w:r>
    </w:p>
    <w:p w14:paraId="759BD153"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f) evaluează şi monitorizează independenţa auditorilor financiari sau a firmelor de audit;</w:t>
      </w:r>
    </w:p>
    <w:p w14:paraId="75BA48F9"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g) înaintează spre avizare Consiliului de Administrație, propunerile privind selectarea, numirea, renumirea, revocarea auditorului financiar extern, precum și termenii și condițiile pentru remunerarea acestuia, urmând ca nominalizările validate de Consiliul de Administrație, să fie supuse aprobării Adunării Generale Ordinare a Acționarilor;</w:t>
      </w:r>
    </w:p>
    <w:p w14:paraId="068E60FC" w14:textId="77777777" w:rsidR="0098325D" w:rsidRPr="004F51B8" w:rsidRDefault="0098325D" w:rsidP="0098325D">
      <w:pPr>
        <w:spacing w:after="0" w:line="240" w:lineRule="auto"/>
        <w:ind w:firstLine="720"/>
        <w:jc w:val="both"/>
        <w:rPr>
          <w:rFonts w:ascii="Calibri" w:hAnsi="Calibri" w:cs="Calibri"/>
          <w:sz w:val="24"/>
          <w:szCs w:val="24"/>
        </w:rPr>
      </w:pPr>
      <w:r w:rsidRPr="004F51B8">
        <w:rPr>
          <w:rFonts w:ascii="Calibri" w:hAnsi="Calibri" w:cs="Calibri"/>
          <w:sz w:val="24"/>
          <w:szCs w:val="24"/>
        </w:rPr>
        <w:t xml:space="preserve">h) întocmește anual un Raport care va fi prezentat Adunării Generale a Acționarilor, în care va fi descrisă componența Comitetului de audit, responsabilitățile și recomandările comitetului precum și orice alte informații în concordanță cu actele normative în vigoare. Profilul consiliului diferenţiază între criterii de selecţie obligatorii şi criterii de selecţie opţionale, bazate pe competenţe, care au fost identificate în urma analizei cerinţelor contextuale. </w:t>
      </w:r>
    </w:p>
    <w:p w14:paraId="1F2B6603" w14:textId="77777777" w:rsidR="0098325D" w:rsidRPr="004F51B8" w:rsidRDefault="0098325D" w:rsidP="0098325D">
      <w:pPr>
        <w:spacing w:after="0" w:line="240" w:lineRule="auto"/>
        <w:jc w:val="both"/>
        <w:rPr>
          <w:rFonts w:ascii="Calibri" w:hAnsi="Calibri" w:cs="Calibri"/>
          <w:sz w:val="24"/>
          <w:szCs w:val="24"/>
        </w:rPr>
      </w:pPr>
    </w:p>
    <w:p w14:paraId="5EF538FC" w14:textId="77777777" w:rsidR="0098325D" w:rsidRPr="004F51B8" w:rsidRDefault="0098325D" w:rsidP="0098325D">
      <w:pPr>
        <w:spacing w:after="0" w:line="240" w:lineRule="auto"/>
        <w:jc w:val="both"/>
        <w:rPr>
          <w:rFonts w:ascii="Calibri" w:hAnsi="Calibri" w:cs="Calibri"/>
          <w:sz w:val="24"/>
          <w:szCs w:val="24"/>
        </w:rPr>
      </w:pPr>
      <w:r w:rsidRPr="004F51B8">
        <w:rPr>
          <w:rFonts w:ascii="Calibri" w:hAnsi="Calibri" w:cs="Calibri"/>
          <w:sz w:val="24"/>
          <w:szCs w:val="24"/>
        </w:rPr>
        <w:t>Profilul consiliului diferenţiază între criterii de selecţie obligatorii şi criterii de selecţie opţionale, bazate pe competenţe, care au fost identificate în urma analizei cerinţelor contextuale.</w:t>
      </w:r>
    </w:p>
    <w:p w14:paraId="009808B9" w14:textId="77777777" w:rsidR="0098325D" w:rsidRDefault="0098325D" w:rsidP="0098325D">
      <w:pPr>
        <w:spacing w:after="0" w:line="240" w:lineRule="auto"/>
        <w:jc w:val="both"/>
        <w:rPr>
          <w:rFonts w:ascii="Calibri" w:hAnsi="Calibri" w:cs="Calibri"/>
          <w:sz w:val="24"/>
          <w:szCs w:val="24"/>
        </w:rPr>
      </w:pPr>
      <w:r w:rsidRPr="004F51B8">
        <w:rPr>
          <w:rFonts w:ascii="Calibri" w:hAnsi="Calibri" w:cs="Calibri"/>
          <w:sz w:val="24"/>
          <w:szCs w:val="24"/>
        </w:rPr>
        <w:t>Criteriile de selecţie obligatorii sunt competenţe şi trăsături care trebuie să fie îndeplinite de către toţi candidaţii. Criteriile de selecţie opţionale sunt competenţe şi trăsături care pot fi îndeplinite de unii dintre membrii consiliului, dar nu în mod necesar de către toţi. Comisia de selecţie şi nominalizare stabileşte care dintre criteriile exemplificate în anexa nr. 1a la  H.G. nr.639/2023, sunt criterii obligatorii şi care sunt opţionale, în funcţie de specificul şi complexitatea activităţii întreprinderii publice, precum şi ponderea acestora în întocmirea listei scurte.</w:t>
      </w:r>
      <w:bookmarkEnd w:id="0"/>
    </w:p>
    <w:p w14:paraId="5B5E9955" w14:textId="77777777" w:rsidR="0098325D" w:rsidRPr="004F51B8" w:rsidRDefault="0098325D" w:rsidP="0098325D">
      <w:pPr>
        <w:spacing w:after="0" w:line="240" w:lineRule="auto"/>
        <w:jc w:val="both"/>
        <w:rPr>
          <w:rFonts w:ascii="Calibri" w:hAnsi="Calibri" w:cs="Calibri"/>
          <w:sz w:val="24"/>
          <w:szCs w:val="24"/>
        </w:rPr>
      </w:pPr>
    </w:p>
    <w:p w14:paraId="63934745" w14:textId="77777777" w:rsidR="0098325D" w:rsidRPr="004F51B8" w:rsidRDefault="0098325D" w:rsidP="0098325D">
      <w:pPr>
        <w:spacing w:after="0" w:line="240" w:lineRule="auto"/>
        <w:jc w:val="both"/>
        <w:rPr>
          <w:rFonts w:ascii="Calibri" w:hAnsi="Calibri" w:cs="Calibri"/>
          <w:sz w:val="24"/>
          <w:szCs w:val="24"/>
        </w:rPr>
      </w:pPr>
    </w:p>
    <w:p w14:paraId="24220666" w14:textId="7D285856" w:rsidR="0098325D" w:rsidRPr="00E74166" w:rsidRDefault="00E74166" w:rsidP="0098325D">
      <w:pPr>
        <w:spacing w:after="0" w:line="240" w:lineRule="auto"/>
        <w:jc w:val="both"/>
        <w:rPr>
          <w:rFonts w:ascii="Calibri" w:hAnsi="Calibri" w:cs="Calibri"/>
          <w:b/>
          <w:bCs/>
          <w:sz w:val="24"/>
          <w:szCs w:val="24"/>
        </w:rPr>
      </w:pPr>
      <w:r w:rsidRPr="00E74166">
        <w:rPr>
          <w:rFonts w:ascii="Calibri" w:hAnsi="Calibri" w:cs="Calibri"/>
          <w:b/>
          <w:bCs/>
          <w:sz w:val="24"/>
          <w:szCs w:val="24"/>
        </w:rPr>
        <w:t>Matricea Consiliului</w:t>
      </w:r>
    </w:p>
    <w:p w14:paraId="60BAD219" w14:textId="52243AC6" w:rsidR="009B598A" w:rsidRPr="009B598A" w:rsidRDefault="009B598A" w:rsidP="009B598A">
      <w:pPr>
        <w:spacing w:after="0" w:line="240" w:lineRule="auto"/>
        <w:jc w:val="both"/>
        <w:rPr>
          <w:rFonts w:ascii="Calibri" w:hAnsi="Calibri" w:cs="Calibri"/>
          <w:sz w:val="24"/>
          <w:szCs w:val="24"/>
        </w:rPr>
      </w:pPr>
      <w:r>
        <w:rPr>
          <w:rFonts w:ascii="Calibri" w:hAnsi="Calibri" w:cs="Calibri"/>
          <w:sz w:val="24"/>
          <w:szCs w:val="24"/>
        </w:rPr>
        <w:t xml:space="preserve"> În ceea ce privește componența Consiliului de Administrație, Autoritatea Publică Tutelară îș</w:t>
      </w:r>
      <w:r w:rsidRPr="009B598A">
        <w:rPr>
          <w:rFonts w:ascii="Calibri" w:hAnsi="Calibri" w:cs="Calibri"/>
          <w:sz w:val="24"/>
          <w:szCs w:val="24"/>
        </w:rPr>
        <w:t>i exprimă poziția privind necesitatea constituirii Consiliului de Administrație într-o structură care să asigure o reprezentare echilibrată a principalelor domenii de competență relevante pentru buna guvernanță a instituției.</w:t>
      </w:r>
    </w:p>
    <w:p w14:paraId="7A1AFDD1" w14:textId="77777777" w:rsidR="009B598A" w:rsidRPr="009B598A" w:rsidRDefault="009B598A" w:rsidP="009B598A">
      <w:pPr>
        <w:spacing w:after="0" w:line="240" w:lineRule="auto"/>
        <w:jc w:val="both"/>
        <w:rPr>
          <w:rFonts w:ascii="Calibri" w:hAnsi="Calibri" w:cs="Calibri"/>
          <w:sz w:val="24"/>
          <w:szCs w:val="24"/>
        </w:rPr>
      </w:pPr>
    </w:p>
    <w:p w14:paraId="1D4B72FF" w14:textId="3EC45F88" w:rsidR="009B598A" w:rsidRPr="009B598A" w:rsidRDefault="009B598A" w:rsidP="009B598A">
      <w:pPr>
        <w:spacing w:after="0" w:line="240" w:lineRule="auto"/>
        <w:jc w:val="both"/>
        <w:rPr>
          <w:rFonts w:ascii="Calibri" w:hAnsi="Calibri" w:cs="Calibri"/>
          <w:sz w:val="24"/>
          <w:szCs w:val="24"/>
        </w:rPr>
      </w:pPr>
      <w:r w:rsidRPr="009B598A">
        <w:rPr>
          <w:rFonts w:ascii="Calibri" w:hAnsi="Calibri" w:cs="Calibri"/>
          <w:sz w:val="24"/>
          <w:szCs w:val="24"/>
        </w:rPr>
        <w:t>În acest sens, se propune ca din componența Consiliului de Administrație să facă parte:</w:t>
      </w:r>
    </w:p>
    <w:p w14:paraId="4EEBD49A" w14:textId="34E2A9E2" w:rsidR="009B598A" w:rsidRPr="009B598A" w:rsidRDefault="009B598A" w:rsidP="009B598A">
      <w:pPr>
        <w:pStyle w:val="ListParagraph"/>
        <w:numPr>
          <w:ilvl w:val="0"/>
          <w:numId w:val="4"/>
        </w:numPr>
        <w:spacing w:after="0" w:line="240" w:lineRule="auto"/>
        <w:jc w:val="both"/>
        <w:rPr>
          <w:rFonts w:ascii="Calibri" w:hAnsi="Calibri" w:cs="Calibri"/>
          <w:sz w:val="24"/>
          <w:szCs w:val="24"/>
        </w:rPr>
      </w:pPr>
      <w:r w:rsidRPr="009B598A">
        <w:rPr>
          <w:rFonts w:ascii="Calibri" w:hAnsi="Calibri" w:cs="Calibri"/>
          <w:sz w:val="24"/>
          <w:szCs w:val="24"/>
        </w:rPr>
        <w:t>un administrator cu pregătire și experiență profesională în domeniul silvic,</w:t>
      </w:r>
    </w:p>
    <w:p w14:paraId="09759051" w14:textId="2CBA0F26" w:rsidR="009B598A" w:rsidRPr="009B598A" w:rsidRDefault="009B598A" w:rsidP="009B598A">
      <w:pPr>
        <w:pStyle w:val="ListParagraph"/>
        <w:numPr>
          <w:ilvl w:val="0"/>
          <w:numId w:val="4"/>
        </w:numPr>
        <w:spacing w:after="0" w:line="240" w:lineRule="auto"/>
        <w:jc w:val="both"/>
        <w:rPr>
          <w:rFonts w:ascii="Calibri" w:hAnsi="Calibri" w:cs="Calibri"/>
          <w:sz w:val="24"/>
          <w:szCs w:val="24"/>
        </w:rPr>
      </w:pPr>
      <w:r w:rsidRPr="009B598A">
        <w:rPr>
          <w:rFonts w:ascii="Calibri" w:hAnsi="Calibri" w:cs="Calibri"/>
          <w:sz w:val="24"/>
          <w:szCs w:val="24"/>
        </w:rPr>
        <w:t>un administrator cu formare de specialitate în domeniul juridic,</w:t>
      </w:r>
    </w:p>
    <w:p w14:paraId="7E2E386E" w14:textId="77777777" w:rsidR="009B598A" w:rsidRPr="009B598A" w:rsidRDefault="009B598A" w:rsidP="009B598A">
      <w:pPr>
        <w:pStyle w:val="ListParagraph"/>
        <w:numPr>
          <w:ilvl w:val="0"/>
          <w:numId w:val="4"/>
        </w:numPr>
        <w:spacing w:after="0" w:line="240" w:lineRule="auto"/>
        <w:jc w:val="both"/>
        <w:rPr>
          <w:rFonts w:ascii="Calibri" w:hAnsi="Calibri" w:cs="Calibri"/>
          <w:sz w:val="24"/>
          <w:szCs w:val="24"/>
        </w:rPr>
      </w:pPr>
      <w:r w:rsidRPr="009B598A">
        <w:rPr>
          <w:rFonts w:ascii="Calibri" w:hAnsi="Calibri" w:cs="Calibri"/>
          <w:sz w:val="24"/>
          <w:szCs w:val="24"/>
        </w:rPr>
        <w:t>precum și un auditor financiar, care să contribuie la asigurarea conformității și transparenței activității economico-financiare.</w:t>
      </w:r>
    </w:p>
    <w:p w14:paraId="507F6DA9" w14:textId="77777777" w:rsidR="009B598A" w:rsidRPr="009B598A" w:rsidRDefault="009B598A" w:rsidP="009B598A">
      <w:pPr>
        <w:spacing w:after="0" w:line="240" w:lineRule="auto"/>
        <w:jc w:val="both"/>
        <w:rPr>
          <w:rFonts w:ascii="Calibri" w:hAnsi="Calibri" w:cs="Calibri"/>
          <w:sz w:val="24"/>
          <w:szCs w:val="24"/>
        </w:rPr>
      </w:pPr>
    </w:p>
    <w:p w14:paraId="485C3E50" w14:textId="0B312563" w:rsidR="0098325D" w:rsidRDefault="009B598A" w:rsidP="009B598A">
      <w:pPr>
        <w:spacing w:after="0" w:line="240" w:lineRule="auto"/>
        <w:jc w:val="both"/>
        <w:rPr>
          <w:rFonts w:ascii="Calibri" w:hAnsi="Calibri" w:cs="Calibri"/>
          <w:sz w:val="24"/>
          <w:szCs w:val="24"/>
        </w:rPr>
      </w:pPr>
      <w:r w:rsidRPr="009B598A">
        <w:rPr>
          <w:rFonts w:ascii="Calibri" w:hAnsi="Calibri" w:cs="Calibri"/>
          <w:sz w:val="24"/>
          <w:szCs w:val="24"/>
        </w:rPr>
        <w:t xml:space="preserve">Această componență este avută în vedere pentru a garanta o administrare eficientă, profesionistă și responsabilă a </w:t>
      </w:r>
      <w:r>
        <w:rPr>
          <w:rFonts w:ascii="Calibri" w:hAnsi="Calibri" w:cs="Calibri"/>
          <w:sz w:val="24"/>
          <w:szCs w:val="24"/>
        </w:rPr>
        <w:t>regiei autonome</w:t>
      </w:r>
      <w:r w:rsidRPr="009B598A">
        <w:rPr>
          <w:rFonts w:ascii="Calibri" w:hAnsi="Calibri" w:cs="Calibri"/>
          <w:sz w:val="24"/>
          <w:szCs w:val="24"/>
        </w:rPr>
        <w:t>, în concordanță cu principiile legalității, competenței și bunei gestiuni financiare.</w:t>
      </w:r>
    </w:p>
    <w:p w14:paraId="038F2D06" w14:textId="418AA1D6" w:rsidR="00EE7931" w:rsidRPr="004F51B8" w:rsidRDefault="00EE7931" w:rsidP="009B598A">
      <w:pPr>
        <w:spacing w:after="0" w:line="240" w:lineRule="auto"/>
        <w:jc w:val="both"/>
        <w:rPr>
          <w:rFonts w:ascii="Calibri" w:hAnsi="Calibri" w:cs="Calibri"/>
          <w:sz w:val="24"/>
          <w:szCs w:val="24"/>
        </w:rPr>
      </w:pPr>
    </w:p>
    <w:p w14:paraId="599708F7" w14:textId="17AEC916" w:rsidR="00E574F3" w:rsidRDefault="009B598A">
      <w:r w:rsidRPr="009B598A">
        <w:rPr>
          <w:noProof/>
        </w:rPr>
        <w:lastRenderedPageBreak/>
        <w:drawing>
          <wp:inline distT="0" distB="0" distL="0" distR="0" wp14:anchorId="3F1B830C" wp14:editId="28992F0D">
            <wp:extent cx="4412615" cy="8892540"/>
            <wp:effectExtent l="0" t="0" r="6985" b="3810"/>
            <wp:docPr id="20257585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2615" cy="8892540"/>
                    </a:xfrm>
                    <a:prstGeom prst="rect">
                      <a:avLst/>
                    </a:prstGeom>
                    <a:noFill/>
                    <a:ln>
                      <a:noFill/>
                    </a:ln>
                  </pic:spPr>
                </pic:pic>
              </a:graphicData>
            </a:graphic>
          </wp:inline>
        </w:drawing>
      </w:r>
    </w:p>
    <w:sectPr w:rsidR="00E574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8463C" w14:textId="77777777" w:rsidR="005078CC" w:rsidRDefault="005078CC" w:rsidP="000D22AE">
      <w:pPr>
        <w:spacing w:after="0" w:line="240" w:lineRule="auto"/>
      </w:pPr>
      <w:r>
        <w:separator/>
      </w:r>
    </w:p>
  </w:endnote>
  <w:endnote w:type="continuationSeparator" w:id="0">
    <w:p w14:paraId="5DD7C220" w14:textId="77777777" w:rsidR="005078CC" w:rsidRDefault="005078CC" w:rsidP="000D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109860"/>
      <w:docPartObj>
        <w:docPartGallery w:val="Page Numbers (Bottom of Page)"/>
        <w:docPartUnique/>
      </w:docPartObj>
    </w:sdtPr>
    <w:sdtEndPr>
      <w:rPr>
        <w:noProof/>
      </w:rPr>
    </w:sdtEndPr>
    <w:sdtContent>
      <w:p w14:paraId="2EA4519E" w14:textId="5D4D9E4E" w:rsidR="000D22AE" w:rsidRDefault="000D22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079BF2" w14:textId="77777777" w:rsidR="000D22AE" w:rsidRDefault="000D2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E9511" w14:textId="77777777" w:rsidR="005078CC" w:rsidRDefault="005078CC" w:rsidP="000D22AE">
      <w:pPr>
        <w:spacing w:after="0" w:line="240" w:lineRule="auto"/>
      </w:pPr>
      <w:r>
        <w:separator/>
      </w:r>
    </w:p>
  </w:footnote>
  <w:footnote w:type="continuationSeparator" w:id="0">
    <w:p w14:paraId="1DAF3E09" w14:textId="77777777" w:rsidR="005078CC" w:rsidRDefault="005078CC" w:rsidP="000D2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C2A38"/>
    <w:multiLevelType w:val="hybridMultilevel"/>
    <w:tmpl w:val="C6C86EA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37C485C"/>
    <w:multiLevelType w:val="hybridMultilevel"/>
    <w:tmpl w:val="7A3812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6BE4427"/>
    <w:multiLevelType w:val="hybridMultilevel"/>
    <w:tmpl w:val="7824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7B013C"/>
    <w:multiLevelType w:val="hybridMultilevel"/>
    <w:tmpl w:val="A9DCC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5483701">
    <w:abstractNumId w:val="0"/>
  </w:num>
  <w:num w:numId="2" w16cid:durableId="581987234">
    <w:abstractNumId w:val="2"/>
  </w:num>
  <w:num w:numId="3" w16cid:durableId="1942102964">
    <w:abstractNumId w:val="3"/>
  </w:num>
  <w:num w:numId="4" w16cid:durableId="92118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5D"/>
    <w:rsid w:val="00086E46"/>
    <w:rsid w:val="000D22AE"/>
    <w:rsid w:val="00123604"/>
    <w:rsid w:val="003C1745"/>
    <w:rsid w:val="00494E9B"/>
    <w:rsid w:val="004C1DF2"/>
    <w:rsid w:val="005078CC"/>
    <w:rsid w:val="00537C0E"/>
    <w:rsid w:val="00587212"/>
    <w:rsid w:val="005A4DFF"/>
    <w:rsid w:val="00696B70"/>
    <w:rsid w:val="006E141B"/>
    <w:rsid w:val="0071487A"/>
    <w:rsid w:val="00806BB3"/>
    <w:rsid w:val="0095326E"/>
    <w:rsid w:val="0098325D"/>
    <w:rsid w:val="009B598A"/>
    <w:rsid w:val="00B922E1"/>
    <w:rsid w:val="00BB7C48"/>
    <w:rsid w:val="00E52C33"/>
    <w:rsid w:val="00E574F3"/>
    <w:rsid w:val="00E74166"/>
    <w:rsid w:val="00EE7931"/>
    <w:rsid w:val="00FF7C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4310"/>
  <w15:chartTrackingRefBased/>
  <w15:docId w15:val="{0ABE707A-FB36-4EC7-A263-F21D398C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25D"/>
  </w:style>
  <w:style w:type="paragraph" w:styleId="Heading1">
    <w:name w:val="heading 1"/>
    <w:basedOn w:val="Normal"/>
    <w:next w:val="Normal"/>
    <w:link w:val="Heading1Char"/>
    <w:uiPriority w:val="9"/>
    <w:qFormat/>
    <w:rsid w:val="00983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2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2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2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2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2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2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2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2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2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2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2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2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2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25D"/>
    <w:rPr>
      <w:rFonts w:eastAsiaTheme="majorEastAsia" w:cstheme="majorBidi"/>
      <w:color w:val="272727" w:themeColor="text1" w:themeTint="D8"/>
    </w:rPr>
  </w:style>
  <w:style w:type="paragraph" w:styleId="Title">
    <w:name w:val="Title"/>
    <w:basedOn w:val="Normal"/>
    <w:next w:val="Normal"/>
    <w:link w:val="TitleChar"/>
    <w:uiPriority w:val="10"/>
    <w:qFormat/>
    <w:rsid w:val="00983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2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2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25D"/>
    <w:pPr>
      <w:spacing w:before="160"/>
      <w:jc w:val="center"/>
    </w:pPr>
    <w:rPr>
      <w:i/>
      <w:iCs/>
      <w:color w:val="404040" w:themeColor="text1" w:themeTint="BF"/>
    </w:rPr>
  </w:style>
  <w:style w:type="character" w:customStyle="1" w:styleId="QuoteChar">
    <w:name w:val="Quote Char"/>
    <w:basedOn w:val="DefaultParagraphFont"/>
    <w:link w:val="Quote"/>
    <w:uiPriority w:val="29"/>
    <w:rsid w:val="0098325D"/>
    <w:rPr>
      <w:i/>
      <w:iCs/>
      <w:color w:val="404040" w:themeColor="text1" w:themeTint="BF"/>
    </w:rPr>
  </w:style>
  <w:style w:type="paragraph" w:styleId="ListParagraph">
    <w:name w:val="List Paragraph"/>
    <w:aliases w:val="Medium Grid 1 Accent 2,body 2,List Paragraph11,Normal bullet 2,Paragraph,Bullet EY,List L1,Heading1,Header bold,heading 7,Forth level,List1,Listă colorată - Accentuare 11,Citation List,bullets,Arial,Bullet line,Colorful List - Accent 11"/>
    <w:basedOn w:val="Normal"/>
    <w:link w:val="ListParagraphChar"/>
    <w:uiPriority w:val="34"/>
    <w:qFormat/>
    <w:rsid w:val="0098325D"/>
    <w:pPr>
      <w:ind w:left="720"/>
      <w:contextualSpacing/>
    </w:pPr>
  </w:style>
  <w:style w:type="character" w:styleId="IntenseEmphasis">
    <w:name w:val="Intense Emphasis"/>
    <w:basedOn w:val="DefaultParagraphFont"/>
    <w:uiPriority w:val="21"/>
    <w:qFormat/>
    <w:rsid w:val="0098325D"/>
    <w:rPr>
      <w:i/>
      <w:iCs/>
      <w:color w:val="0F4761" w:themeColor="accent1" w:themeShade="BF"/>
    </w:rPr>
  </w:style>
  <w:style w:type="paragraph" w:styleId="IntenseQuote">
    <w:name w:val="Intense Quote"/>
    <w:basedOn w:val="Normal"/>
    <w:next w:val="Normal"/>
    <w:link w:val="IntenseQuoteChar"/>
    <w:uiPriority w:val="30"/>
    <w:qFormat/>
    <w:rsid w:val="00983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25D"/>
    <w:rPr>
      <w:i/>
      <w:iCs/>
      <w:color w:val="0F4761" w:themeColor="accent1" w:themeShade="BF"/>
    </w:rPr>
  </w:style>
  <w:style w:type="character" w:styleId="IntenseReference">
    <w:name w:val="Intense Reference"/>
    <w:basedOn w:val="DefaultParagraphFont"/>
    <w:uiPriority w:val="32"/>
    <w:qFormat/>
    <w:rsid w:val="0098325D"/>
    <w:rPr>
      <w:b/>
      <w:bCs/>
      <w:smallCaps/>
      <w:color w:val="0F4761" w:themeColor="accent1" w:themeShade="BF"/>
      <w:spacing w:val="5"/>
    </w:rPr>
  </w:style>
  <w:style w:type="character" w:customStyle="1" w:styleId="ListParagraphChar">
    <w:name w:val="List Paragraph Char"/>
    <w:aliases w:val="Medium Grid 1 Accent 2 Char,body 2 Char,List Paragraph11 Char,Normal bullet 2 Char,Paragraph Char,Bullet EY Char,List L1 Char,Heading1 Char,Header bold Char,heading 7 Char,Forth level Char,List1 Char,Citation List Char,bullets Char"/>
    <w:link w:val="ListParagraph"/>
    <w:uiPriority w:val="34"/>
    <w:qFormat/>
    <w:locked/>
    <w:rsid w:val="0098325D"/>
  </w:style>
  <w:style w:type="paragraph" w:styleId="Header">
    <w:name w:val="header"/>
    <w:basedOn w:val="Normal"/>
    <w:link w:val="HeaderChar"/>
    <w:uiPriority w:val="99"/>
    <w:unhideWhenUsed/>
    <w:rsid w:val="000D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2AE"/>
  </w:style>
  <w:style w:type="paragraph" w:styleId="Footer">
    <w:name w:val="footer"/>
    <w:basedOn w:val="Normal"/>
    <w:link w:val="FooterChar"/>
    <w:uiPriority w:val="99"/>
    <w:unhideWhenUsed/>
    <w:rsid w:val="000D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2565</Words>
  <Characters>14625</Characters>
  <Application>Microsoft Office Word</Application>
  <DocSecurity>0</DocSecurity>
  <Lines>121</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Pasca</dc:creator>
  <cp:keywords/>
  <dc:description/>
  <cp:lastModifiedBy>Claudia-Georgeta BREHAR</cp:lastModifiedBy>
  <cp:revision>2</cp:revision>
  <cp:lastPrinted>2025-10-15T09:22:00Z</cp:lastPrinted>
  <dcterms:created xsi:type="dcterms:W3CDTF">2025-10-17T08:47:00Z</dcterms:created>
  <dcterms:modified xsi:type="dcterms:W3CDTF">2025-10-17T08:47:00Z</dcterms:modified>
</cp:coreProperties>
</file>