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51B0F" w14:textId="77777777" w:rsidR="001E794A" w:rsidRDefault="001E794A">
      <w:pPr>
        <w:spacing w:after="0" w:line="240" w:lineRule="auto"/>
        <w:jc w:val="center"/>
        <w:rPr>
          <w:rFonts w:ascii="Arial" w:hAnsi="Arial" w:cs="Arial"/>
          <w:b/>
          <w:bCs/>
          <w:sz w:val="26"/>
          <w:szCs w:val="26"/>
          <w:lang w:val="ro-RO"/>
        </w:rPr>
      </w:pPr>
    </w:p>
    <w:p w14:paraId="1C7BD5C9" w14:textId="77777777" w:rsidR="001E794A" w:rsidRPr="00905773" w:rsidRDefault="00C438E1">
      <w:pPr>
        <w:spacing w:after="0" w:line="240" w:lineRule="auto"/>
        <w:jc w:val="center"/>
        <w:rPr>
          <w:rFonts w:ascii="Arial" w:hAnsi="Arial" w:cs="Arial"/>
          <w:b/>
          <w:bCs/>
          <w:sz w:val="26"/>
          <w:szCs w:val="26"/>
          <w:lang w:val="ro-RO"/>
        </w:rPr>
      </w:pPr>
      <w:r w:rsidRPr="00905773">
        <w:rPr>
          <w:rFonts w:ascii="Arial" w:hAnsi="Arial" w:cs="Arial"/>
          <w:b/>
          <w:bCs/>
          <w:sz w:val="26"/>
          <w:szCs w:val="26"/>
          <w:lang w:val="ro-RO"/>
        </w:rPr>
        <w:t>Descrierea sumară a investiției</w:t>
      </w:r>
    </w:p>
    <w:p w14:paraId="55C5307F" w14:textId="77777777" w:rsidR="001E794A" w:rsidRPr="00905773" w:rsidRDefault="001E794A">
      <w:pPr>
        <w:spacing w:after="0" w:line="240" w:lineRule="auto"/>
        <w:jc w:val="center"/>
        <w:rPr>
          <w:rFonts w:ascii="Arial" w:hAnsi="Arial" w:cs="Arial"/>
          <w:b/>
          <w:bCs/>
          <w:sz w:val="26"/>
          <w:szCs w:val="26"/>
          <w:lang w:val="ro-RO"/>
        </w:rPr>
      </w:pPr>
    </w:p>
    <w:p w14:paraId="08E265FC" w14:textId="77777777" w:rsidR="001E794A" w:rsidRPr="00905773" w:rsidRDefault="001E794A">
      <w:pPr>
        <w:spacing w:after="0" w:line="240" w:lineRule="auto"/>
        <w:jc w:val="center"/>
        <w:rPr>
          <w:rFonts w:ascii="Arial" w:hAnsi="Arial" w:cs="Arial"/>
          <w:b/>
          <w:bCs/>
          <w:sz w:val="26"/>
          <w:szCs w:val="26"/>
          <w:lang w:val="ro-RO"/>
        </w:rPr>
      </w:pPr>
    </w:p>
    <w:p w14:paraId="112B5075" w14:textId="08244E90" w:rsidR="00FC2462" w:rsidRPr="00FC2462" w:rsidRDefault="00FC2462" w:rsidP="00FC2462">
      <w:pPr>
        <w:spacing w:after="0" w:line="240" w:lineRule="auto"/>
        <w:jc w:val="center"/>
        <w:rPr>
          <w:rFonts w:ascii="Arial" w:hAnsi="Arial" w:cs="Arial"/>
          <w:b/>
          <w:bCs/>
          <w:iCs/>
          <w:sz w:val="26"/>
          <w:szCs w:val="26"/>
          <w:lang w:val="ro-RO"/>
        </w:rPr>
      </w:pPr>
      <w:r w:rsidRPr="00FC2462">
        <w:rPr>
          <w:rFonts w:ascii="Arial" w:hAnsi="Arial" w:cs="Arial"/>
          <w:b/>
          <w:bCs/>
          <w:iCs/>
          <w:sz w:val="26"/>
          <w:szCs w:val="26"/>
          <w:lang w:val="ro-RO"/>
        </w:rPr>
        <w:t>Înnoirea parcului de vehicule destinate transportului public în Municipiul Bistrița și Comuna Livezile</w:t>
      </w:r>
    </w:p>
    <w:p w14:paraId="706F32F6" w14:textId="6AA68438" w:rsidR="001E794A" w:rsidRPr="00905773" w:rsidRDefault="001E794A">
      <w:pPr>
        <w:spacing w:after="0" w:line="240" w:lineRule="auto"/>
        <w:jc w:val="center"/>
        <w:rPr>
          <w:rFonts w:ascii="Arial" w:hAnsi="Arial" w:cs="Arial"/>
          <w:b/>
          <w:bCs/>
          <w:sz w:val="26"/>
          <w:szCs w:val="26"/>
          <w:lang w:val="ro-RO"/>
        </w:rPr>
      </w:pPr>
    </w:p>
    <w:p w14:paraId="7502ECF8" w14:textId="77777777" w:rsidR="001E794A" w:rsidRPr="00905773" w:rsidRDefault="001E794A">
      <w:pPr>
        <w:spacing w:after="0" w:line="240" w:lineRule="auto"/>
        <w:jc w:val="center"/>
        <w:rPr>
          <w:rFonts w:ascii="Arial" w:hAnsi="Arial" w:cs="Arial"/>
          <w:b/>
          <w:bCs/>
          <w:sz w:val="26"/>
          <w:szCs w:val="26"/>
          <w:lang w:val="ro-RO"/>
        </w:rPr>
      </w:pPr>
    </w:p>
    <w:p w14:paraId="4E049727" w14:textId="77777777" w:rsidR="00FC2462" w:rsidRPr="00905773" w:rsidRDefault="00FC2462" w:rsidP="00FC2462">
      <w:pPr>
        <w:pStyle w:val="WW-Default"/>
        <w:ind w:firstLine="720"/>
        <w:jc w:val="both"/>
        <w:rPr>
          <w:rFonts w:ascii="Arial" w:hAnsi="Arial" w:cs="Arial"/>
          <w:color w:val="auto"/>
          <w:sz w:val="26"/>
          <w:szCs w:val="26"/>
          <w:lang w:val="ro-RO"/>
        </w:rPr>
      </w:pPr>
      <w:r w:rsidRPr="00905773">
        <w:rPr>
          <w:rFonts w:ascii="Arial" w:hAnsi="Arial" w:cs="Arial"/>
          <w:color w:val="auto"/>
          <w:sz w:val="26"/>
          <w:szCs w:val="26"/>
          <w:lang w:val="ro-RO"/>
        </w:rPr>
        <w:t xml:space="preserve">Obiectivul general al proiectului </w:t>
      </w:r>
      <w:r w:rsidRPr="00905773">
        <w:rPr>
          <w:rFonts w:ascii="Arial" w:hAnsi="Arial" w:cs="Arial"/>
          <w:b/>
          <w:bCs/>
          <w:sz w:val="26"/>
          <w:szCs w:val="26"/>
          <w:lang w:val="ro-RO"/>
        </w:rPr>
        <w:t>Înnoirea parcului de vehicule destinate transportului public în Municipiul Bistrița și Comuna Livezile</w:t>
      </w:r>
      <w:r w:rsidRPr="00905773">
        <w:rPr>
          <w:rFonts w:ascii="Arial" w:hAnsi="Arial" w:cs="Arial"/>
          <w:color w:val="auto"/>
          <w:sz w:val="26"/>
          <w:szCs w:val="26"/>
          <w:lang w:val="ro-RO"/>
        </w:rPr>
        <w:t xml:space="preserve"> este asigurarea unui serviciu eficient de transport public de călători în vederea reducerii numărului de deplasări cu transportul privat (cu autoturisme) şi reducerea emisiilor de echivalent CO2 cauzate de transport, prin acțiunea de modernizare a sistemului de transport public local din Municipiul Bistrița prin achiziționarea a 20 vehicule ecologice (autobuze electrice nepoluante de 10 m) și a 24 stații de încărcare, din care 4 stații încărcare rapidă și 20 stații încărcare standard.</w:t>
      </w:r>
    </w:p>
    <w:p w14:paraId="21279C98" w14:textId="77777777" w:rsidR="00FC2462" w:rsidRPr="00905773" w:rsidRDefault="00FC2462" w:rsidP="00FC2462">
      <w:pPr>
        <w:pStyle w:val="WW-Default"/>
        <w:ind w:firstLine="720"/>
        <w:jc w:val="both"/>
        <w:rPr>
          <w:rFonts w:ascii="Arial" w:hAnsi="Arial" w:cs="Arial"/>
          <w:color w:val="auto"/>
          <w:sz w:val="26"/>
          <w:szCs w:val="26"/>
          <w:lang w:val="ro-RO"/>
        </w:rPr>
      </w:pPr>
      <w:r w:rsidRPr="00905773">
        <w:rPr>
          <w:rFonts w:ascii="Arial" w:hAnsi="Arial" w:cs="Arial"/>
          <w:color w:val="auto"/>
          <w:sz w:val="26"/>
          <w:szCs w:val="26"/>
          <w:lang w:val="ro-RO"/>
        </w:rPr>
        <w:t xml:space="preserve">Proiectul se va dezvolta în parteneriat cu UAT Comuna Livezile, prin modificarea hărții distribuției liniilor de transport public. </w:t>
      </w:r>
    </w:p>
    <w:p w14:paraId="68B0C6B3" w14:textId="77777777" w:rsidR="00FC2462" w:rsidRPr="00905773" w:rsidRDefault="00FC2462" w:rsidP="00FC2462">
      <w:pPr>
        <w:suppressAutoHyphens w:val="0"/>
        <w:autoSpaceDE w:val="0"/>
        <w:adjustRightInd w:val="0"/>
        <w:ind w:firstLine="720"/>
        <w:jc w:val="both"/>
        <w:rPr>
          <w:rFonts w:ascii="Arial" w:hAnsi="Arial" w:cs="Arial"/>
          <w:sz w:val="26"/>
          <w:szCs w:val="26"/>
          <w:lang w:val="ro-RO"/>
        </w:rPr>
      </w:pPr>
      <w:r w:rsidRPr="009B5CFD">
        <w:rPr>
          <w:rFonts w:ascii="Arial" w:hAnsi="Arial" w:cs="Arial"/>
          <w:sz w:val="26"/>
          <w:szCs w:val="26"/>
          <w:lang w:val="ro-RO"/>
        </w:rPr>
        <w:t xml:space="preserve">Asigurarea unui serviciu eficient de transport public de călători va duce la reducerea/înlocuirea deplasării cu transportul privat (cu autoturisme personale) şi implicit reducerea emisiilor de echivalent CO2 cauzate de transport, cu efect direct asupra îmbunătățirii calității mediului înconjurător. Astfel, prin proiectul de achiziție a unor vehicule ecologice destinate transportului urban de călători, se urmărește dezvoltarea mobilității locale sustenabile, prin utilizarea transportului public de înaltă calitate și eficiență energetică. </w:t>
      </w:r>
    </w:p>
    <w:p w14:paraId="166EDC94" w14:textId="45FC35BC" w:rsidR="00FC2462" w:rsidRPr="00905773" w:rsidRDefault="00FC2462" w:rsidP="00905773">
      <w:pPr>
        <w:suppressAutoHyphens w:val="0"/>
        <w:autoSpaceDE w:val="0"/>
        <w:adjustRightInd w:val="0"/>
        <w:ind w:firstLine="720"/>
        <w:jc w:val="both"/>
        <w:rPr>
          <w:rFonts w:ascii="Arial" w:hAnsi="Arial" w:cs="Arial"/>
          <w:sz w:val="26"/>
          <w:szCs w:val="26"/>
          <w:lang w:val="ro-RO"/>
        </w:rPr>
      </w:pPr>
      <w:r w:rsidRPr="00905773">
        <w:rPr>
          <w:rFonts w:ascii="Arial" w:hAnsi="Arial" w:cs="Arial"/>
          <w:sz w:val="26"/>
          <w:szCs w:val="26"/>
          <w:lang w:val="ro-RO"/>
        </w:rPr>
        <w:t>Valoarea totală a investiției atrasă prin programul PNRR, Pilonul IV, Coeziune socială și teritorială, Componenta 10 Fondul Local, Apel proiect: I.1. Mobilitate urbană durabilă, I 1.1. Înnoirea parcului de vehicule destinate transportului public (achiziția de vehicule nepoluante ecologice) este de:</w:t>
      </w:r>
      <w:r w:rsidRPr="00905773">
        <w:rPr>
          <w:rFonts w:ascii="Arial" w:hAnsi="Arial" w:cs="Arial"/>
          <w:sz w:val="26"/>
          <w:szCs w:val="26"/>
          <w:lang w:val="ro-RO"/>
        </w:rPr>
        <w:t xml:space="preserve"> </w:t>
      </w:r>
      <w:r w:rsidRPr="00905773">
        <w:rPr>
          <w:rFonts w:ascii="Arial" w:hAnsi="Arial" w:cs="Arial"/>
          <w:sz w:val="26"/>
          <w:szCs w:val="26"/>
          <w:lang w:val="ro-RO"/>
        </w:rPr>
        <w:t>48.340.914,00</w:t>
      </w:r>
      <w:r w:rsidRPr="00905773">
        <w:rPr>
          <w:rFonts w:ascii="Arial" w:hAnsi="Arial" w:cs="Arial"/>
          <w:sz w:val="26"/>
          <w:szCs w:val="26"/>
          <w:lang w:val="ro-RO"/>
        </w:rPr>
        <w:t xml:space="preserve">lei </w:t>
      </w:r>
      <w:r w:rsidRPr="00905773">
        <w:rPr>
          <w:rFonts w:ascii="Arial" w:hAnsi="Arial" w:cs="Arial"/>
          <w:sz w:val="26"/>
          <w:szCs w:val="26"/>
          <w:lang w:val="ro-RO"/>
        </w:rPr>
        <w:t>(9.820.000,00 Euro) fără TVA</w:t>
      </w:r>
      <w:r w:rsidR="00905773">
        <w:rPr>
          <w:rFonts w:ascii="Arial" w:hAnsi="Arial" w:cs="Arial"/>
          <w:sz w:val="26"/>
          <w:szCs w:val="26"/>
          <w:lang w:val="ro-RO"/>
        </w:rPr>
        <w:t>.</w:t>
      </w:r>
    </w:p>
    <w:p w14:paraId="0524930C" w14:textId="77777777" w:rsidR="00FC2462" w:rsidRPr="00905773" w:rsidRDefault="00FC2462" w:rsidP="00FC2462">
      <w:pPr>
        <w:spacing w:before="240" w:after="60" w:line="240" w:lineRule="auto"/>
        <w:jc w:val="both"/>
        <w:rPr>
          <w:rFonts w:ascii="Arial" w:eastAsia="Times New Roman" w:hAnsi="Arial" w:cs="Arial"/>
          <w:sz w:val="26"/>
          <w:szCs w:val="26"/>
        </w:rPr>
      </w:pPr>
      <w:r w:rsidRPr="00905773">
        <w:rPr>
          <w:rFonts w:ascii="Arial" w:eastAsia="Times New Roman" w:hAnsi="Arial" w:cs="Arial"/>
          <w:color w:val="000000"/>
          <w:sz w:val="26"/>
          <w:szCs w:val="26"/>
        </w:rPr>
        <w:t>Indicatorii obiectivului de investiții</w:t>
      </w:r>
    </w:p>
    <w:p w14:paraId="4F891A65" w14:textId="73AA2E74" w:rsidR="00FC2462" w:rsidRPr="00905773" w:rsidRDefault="00FC2462" w:rsidP="00FC2462">
      <w:pPr>
        <w:numPr>
          <w:ilvl w:val="0"/>
          <w:numId w:val="4"/>
        </w:numPr>
        <w:suppressAutoHyphens w:val="0"/>
        <w:autoSpaceDN/>
        <w:spacing w:after="0" w:line="240" w:lineRule="auto"/>
        <w:jc w:val="both"/>
        <w:rPr>
          <w:rFonts w:ascii="Arial" w:eastAsia="Times New Roman" w:hAnsi="Arial" w:cs="Arial"/>
          <w:color w:val="000000"/>
          <w:sz w:val="26"/>
          <w:szCs w:val="26"/>
          <w:lang w:val="fr-FR"/>
        </w:rPr>
      </w:pPr>
      <w:r w:rsidRPr="00905773">
        <w:rPr>
          <w:rFonts w:ascii="Arial" w:eastAsia="Times New Roman" w:hAnsi="Arial" w:cs="Arial"/>
          <w:color w:val="000000"/>
          <w:sz w:val="26"/>
          <w:szCs w:val="26"/>
          <w:lang w:val="fr-FR"/>
        </w:rPr>
        <w:t>Număr de mijloace de transport achiziționate</w:t>
      </w:r>
      <w:r w:rsidR="00905773" w:rsidRPr="00905773">
        <w:rPr>
          <w:rFonts w:ascii="Arial" w:eastAsia="Times New Roman" w:hAnsi="Arial" w:cs="Arial"/>
          <w:color w:val="000000"/>
          <w:sz w:val="26"/>
          <w:szCs w:val="26"/>
          <w:lang w:val="fr-FR"/>
        </w:rPr>
        <w:t xml:space="preserve"> – 20 </w:t>
      </w:r>
      <w:r w:rsidR="00905773" w:rsidRPr="00905773">
        <w:rPr>
          <w:rFonts w:ascii="Arial" w:hAnsi="Arial" w:cs="Arial"/>
          <w:sz w:val="26"/>
          <w:szCs w:val="26"/>
          <w:lang w:val="ro-RO"/>
        </w:rPr>
        <w:t xml:space="preserve">autobuze electrice de 10 metri </w:t>
      </w:r>
    </w:p>
    <w:p w14:paraId="59C6696F" w14:textId="79FE7C7B" w:rsidR="00FC2462" w:rsidRPr="00905773" w:rsidRDefault="00FC2462" w:rsidP="00FC2462">
      <w:pPr>
        <w:numPr>
          <w:ilvl w:val="0"/>
          <w:numId w:val="4"/>
        </w:numPr>
        <w:suppressAutoHyphens w:val="0"/>
        <w:autoSpaceDN/>
        <w:spacing w:after="120" w:line="240" w:lineRule="auto"/>
        <w:jc w:val="both"/>
        <w:rPr>
          <w:rFonts w:ascii="Arial" w:eastAsia="Times New Roman" w:hAnsi="Arial" w:cs="Arial"/>
          <w:color w:val="000000"/>
          <w:sz w:val="26"/>
          <w:szCs w:val="26"/>
          <w:lang w:val="fr-FR"/>
        </w:rPr>
      </w:pPr>
      <w:r w:rsidRPr="00905773">
        <w:rPr>
          <w:rFonts w:ascii="Arial" w:eastAsia="Times New Roman" w:hAnsi="Arial" w:cs="Arial"/>
          <w:color w:val="000000"/>
          <w:sz w:val="26"/>
          <w:szCs w:val="26"/>
          <w:lang w:val="fr-FR"/>
        </w:rPr>
        <w:t>Număr de stații de reîncărcare pentru autobuze (lente și rapide)</w:t>
      </w:r>
      <w:r w:rsidR="00905773" w:rsidRPr="00905773">
        <w:rPr>
          <w:rFonts w:ascii="Arial" w:eastAsia="Times New Roman" w:hAnsi="Arial" w:cs="Arial"/>
          <w:color w:val="000000"/>
          <w:sz w:val="26"/>
          <w:szCs w:val="26"/>
          <w:lang w:val="fr-FR"/>
        </w:rPr>
        <w:t>-</w:t>
      </w:r>
      <w:r w:rsidR="00905773" w:rsidRPr="00905773">
        <w:rPr>
          <w:rFonts w:ascii="Arial" w:hAnsi="Arial" w:cs="Arial"/>
          <w:sz w:val="26"/>
          <w:szCs w:val="26"/>
          <w:lang w:val="ro-RO"/>
        </w:rPr>
        <w:t xml:space="preserve"> </w:t>
      </w:r>
      <w:r w:rsidR="00905773" w:rsidRPr="00905773">
        <w:rPr>
          <w:rFonts w:ascii="Arial" w:hAnsi="Arial" w:cs="Arial"/>
          <w:sz w:val="26"/>
          <w:szCs w:val="26"/>
          <w:lang w:val="ro-RO"/>
        </w:rPr>
        <w:t>24 stații încărcare</w:t>
      </w:r>
    </w:p>
    <w:p w14:paraId="331F88D6" w14:textId="77777777" w:rsidR="001E794A" w:rsidRPr="00905773" w:rsidRDefault="001E794A">
      <w:pPr>
        <w:spacing w:after="0" w:line="240" w:lineRule="auto"/>
        <w:jc w:val="both"/>
        <w:rPr>
          <w:rFonts w:ascii="Arial" w:hAnsi="Arial" w:cs="Arial"/>
          <w:sz w:val="26"/>
          <w:szCs w:val="26"/>
        </w:rPr>
      </w:pPr>
    </w:p>
    <w:sectPr w:rsidR="001E794A" w:rsidRPr="00905773">
      <w:headerReference w:type="default" r:id="rId7"/>
      <w:footerReference w:type="default" r:id="rId8"/>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6FF168" w14:textId="77777777" w:rsidR="000B7D0F" w:rsidRDefault="000B7D0F">
      <w:pPr>
        <w:spacing w:after="0" w:line="240" w:lineRule="auto"/>
      </w:pPr>
      <w:r>
        <w:separator/>
      </w:r>
    </w:p>
  </w:endnote>
  <w:endnote w:type="continuationSeparator" w:id="0">
    <w:p w14:paraId="739CCCCB" w14:textId="77777777" w:rsidR="000B7D0F" w:rsidRDefault="000B7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0666110"/>
      <w:docPartObj>
        <w:docPartGallery w:val="Page Numbers (Bottom of Page)"/>
        <w:docPartUnique/>
      </w:docPartObj>
    </w:sdtPr>
    <w:sdtEndPr>
      <w:rPr>
        <w:noProof/>
      </w:rPr>
    </w:sdtEndPr>
    <w:sdtContent>
      <w:p w14:paraId="7465B52F" w14:textId="615A94A9" w:rsidR="0051115A" w:rsidRDefault="0051115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C32BFA9" w14:textId="77777777" w:rsidR="00FB142D" w:rsidRDefault="000B7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B242" w14:textId="77777777" w:rsidR="000B7D0F" w:rsidRDefault="000B7D0F">
      <w:pPr>
        <w:spacing w:after="0" w:line="240" w:lineRule="auto"/>
      </w:pPr>
      <w:r>
        <w:rPr>
          <w:color w:val="000000"/>
        </w:rPr>
        <w:separator/>
      </w:r>
    </w:p>
  </w:footnote>
  <w:footnote w:type="continuationSeparator" w:id="0">
    <w:p w14:paraId="5BB7E7E0" w14:textId="77777777" w:rsidR="000B7D0F" w:rsidRDefault="000B7D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3ADD"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 xml:space="preserve">Anexa nr. 1 </w:t>
    </w:r>
  </w:p>
  <w:p w14:paraId="4BE51F7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la Hotărârea nr........./..............</w:t>
    </w:r>
  </w:p>
  <w:p w14:paraId="2FF585FB" w14:textId="77777777" w:rsidR="00FB142D" w:rsidRDefault="00C438E1">
    <w:pPr>
      <w:pStyle w:val="Header"/>
      <w:jc w:val="right"/>
      <w:rPr>
        <w:rFonts w:ascii="Arial" w:hAnsi="Arial" w:cs="Arial"/>
        <w:sz w:val="26"/>
        <w:szCs w:val="26"/>
        <w:lang w:val="ro-RO"/>
      </w:rPr>
    </w:pPr>
    <w:r>
      <w:rPr>
        <w:rFonts w:ascii="Arial" w:hAnsi="Arial" w:cs="Arial"/>
        <w:sz w:val="26"/>
        <w:szCs w:val="26"/>
        <w:lang w:val="ro-RO"/>
      </w:rPr>
      <w:t>a Consiliului Local al municipiului Bistrița</w:t>
    </w:r>
  </w:p>
  <w:p w14:paraId="7921AEEB" w14:textId="77777777" w:rsidR="00FB142D" w:rsidRDefault="000B7D0F">
    <w:pPr>
      <w:pStyle w:val="Header"/>
      <w:jc w:val="right"/>
    </w:pPr>
  </w:p>
  <w:p w14:paraId="1C406B2E" w14:textId="77777777" w:rsidR="00FB142D" w:rsidRDefault="000B7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04A0D"/>
    <w:multiLevelType w:val="multilevel"/>
    <w:tmpl w:val="2E9A24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0C12936"/>
    <w:multiLevelType w:val="multilevel"/>
    <w:tmpl w:val="89F64B52"/>
    <w:lvl w:ilvl="0">
      <w:start w:val="1"/>
      <w:numFmt w:val="upperLetter"/>
      <w:lvlText w:val="%1."/>
      <w:lvlJc w:val="left"/>
    </w:lvl>
    <w:lvl w:ilvl="1">
      <w:start w:val="1"/>
      <w:numFmt w:val="lowerLetter"/>
      <w:lvlText w:val="%2)"/>
      <w:lvlJc w:val="left"/>
      <w:pPr>
        <w:ind w:left="1440" w:hanging="360"/>
      </w:pPr>
      <w:rPr>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50AE5C8C"/>
    <w:multiLevelType w:val="multilevel"/>
    <w:tmpl w:val="5100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76278B"/>
    <w:multiLevelType w:val="multilevel"/>
    <w:tmpl w:val="7C763220"/>
    <w:lvl w:ilvl="0">
      <w:numFmt w:val="bullet"/>
      <w:lvlText w:val=""/>
      <w:lvlJc w:val="left"/>
      <w:pPr>
        <w:ind w:left="720" w:hanging="360"/>
      </w:pPr>
      <w:rPr>
        <w:rFonts w:ascii="Symbol" w:hAnsi="Symbol"/>
        <w:sz w:val="20"/>
      </w:rPr>
    </w:lvl>
    <w:lvl w:ilvl="1">
      <w:start w:val="2"/>
      <w:numFmt w:val="lowerLetter"/>
      <w:lvlText w:val="%2)"/>
      <w:lvlJc w:val="left"/>
      <w:pPr>
        <w:ind w:left="1440" w:hanging="360"/>
      </w:pPr>
      <w:rPr>
        <w:color w:val="FF000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num w:numId="1" w16cid:durableId="563026572">
    <w:abstractNumId w:val="3"/>
  </w:num>
  <w:num w:numId="2" w16cid:durableId="86772497">
    <w:abstractNumId w:val="1"/>
  </w:num>
  <w:num w:numId="3" w16cid:durableId="1942296445">
    <w:abstractNumId w:val="0"/>
  </w:num>
  <w:num w:numId="4" w16cid:durableId="8103656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94A"/>
    <w:rsid w:val="000379A9"/>
    <w:rsid w:val="000B7D0F"/>
    <w:rsid w:val="000D4CC1"/>
    <w:rsid w:val="001E794A"/>
    <w:rsid w:val="00203224"/>
    <w:rsid w:val="003D6573"/>
    <w:rsid w:val="004805AC"/>
    <w:rsid w:val="0051115A"/>
    <w:rsid w:val="007C4E50"/>
    <w:rsid w:val="00905773"/>
    <w:rsid w:val="00C438E1"/>
    <w:rsid w:val="00CD31E6"/>
    <w:rsid w:val="00FC24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453BC"/>
  <w15:docId w15:val="{A9AB7DEB-55E7-4B72-8E87-E88B32D07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uiPriority w:val="99"/>
    <w:pPr>
      <w:tabs>
        <w:tab w:val="center" w:pos="4513"/>
        <w:tab w:val="right" w:pos="9026"/>
      </w:tabs>
      <w:spacing w:after="0" w:line="240" w:lineRule="auto"/>
    </w:pPr>
  </w:style>
  <w:style w:type="character" w:customStyle="1" w:styleId="FooterChar">
    <w:name w:val="Footer Char"/>
    <w:basedOn w:val="DefaultParagraphFont"/>
    <w:uiPriority w:val="99"/>
  </w:style>
  <w:style w:type="paragraph" w:customStyle="1" w:styleId="WW-Default">
    <w:name w:val="WW-Default"/>
    <w:rsid w:val="00FC2462"/>
    <w:pPr>
      <w:suppressAutoHyphens/>
      <w:autoSpaceDE w:val="0"/>
      <w:autoSpaceDN/>
      <w:spacing w:after="0" w:line="240" w:lineRule="auto"/>
      <w:textAlignment w:val="auto"/>
    </w:pPr>
    <w:rPr>
      <w:rFonts w:ascii="Times New Roman" w:hAnsi="Times New 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Bistrita</dc:creator>
  <dc:description/>
  <cp:lastModifiedBy>Primaria Bistrita</cp:lastModifiedBy>
  <cp:revision>4</cp:revision>
  <cp:lastPrinted>2022-05-11T13:39:00Z</cp:lastPrinted>
  <dcterms:created xsi:type="dcterms:W3CDTF">2022-05-16T12:08:00Z</dcterms:created>
  <dcterms:modified xsi:type="dcterms:W3CDTF">2022-05-16T12:16:00Z</dcterms:modified>
</cp:coreProperties>
</file>